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06d02028df241c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7171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CENTAR ZA PRUŽANJE USLUGA U ZAJEDNICI VRBINA SISAK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576.020,29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682.878,59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580.732,84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752.735,56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4.712,55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69.856,97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8.721,08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6.399,29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78.578,05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1227,9</w:t>
            </w:r>
          </w:p>
        </w:tc>
      </w:tr>
    </w:tbl>
    <w:p>
      <w:pPr>
        <w:spacing w:before="0" w:after="0"/>
      </w:pPr>
    </w:p>
    <w:p>
      <w:pPr>
        <w:jc w:val="both"/>
        <w:pStyle w:val="Normal"/>
        <w:spacing w:line="240" w:lineRule="auto"/>
      </w:pPr>
      <w:r>
        <w:rPr>
          <w:sz w:val="24"/>
          <w:rFonts w:ascii="Times New Roman" w:hAnsi="Times New Roman"/>
        </w:rPr>
        <w:t>Ukupni prihodi poslovanja u najvećem omjeru su prihodi iz nadležnog proračuna za financiranje redovne djelatnosti proračunskih korisnika (iznos od 675.712,59 eura ili 98,95% udio u ukupno realiziranim prihodima). Zbog većih troškova poslovanja u 2025. godini (rast plaća, materijalnih i ostalih rashoda) evidentiran je rast prihoda od 18,60%. Ukupni rashodi poslovanja iznose 752.735,56 eura te su veći od realiziranih prihoda poslovanja. Napomena: u rashode poslovanja su evidentirani i rashodi za plaće i ostali rashodi za razdoblje 12/2024 godine, te zbog toga nastaje značajno odstupanje između prihoda i rashoda poslovanja. Iskazani manjak prihoda od nefinancijske imovine se odnosi na nabavu osnovnih sredstava, a u cjelokupnom iznosu se financira iz prihoda poslovanja (dio iz prihoda iz nadležnog proračuna u iznosu od 7.273,70 eura, a ostatak od 1.447,38 eura iz donacijskih sredstava).  Iskazan je manjak prihoda i primitaka od 78.578,05 eura koji je u najvećem dijelu rezultat promjene računovodstvene metodologije od 01.01.2025. , te manjak nastaje zbog knjigovodstvenog evidentiranja rashoda za 12/2024 u tekućoj godini. U 2025. godini se evidentira jedan rashod više s obzirom na to da će rashodi u 2025. uključivati rashode za 12.2024. uz ostala razdoblja.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56.070,47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Tekuće pomoći od institucija i tijela EU u 2024. godini su prihodi kojima se financira plaća djelatnika iz Nacionalnog plana oporavka i otpornosti (obiteljski suradnici i voditelji mjere intenzivne stručne pomoći i nadzora – 3 djelatnika u Ustanovi). U 2025. godini prihod nije prikazan zbog promjene računovodstvene metodologije. Navedeni prihodi više nisu prikazani na računu 6323100 Tekuće pomoći od institucija i tijela EU – NPOO, nego na računu 6711163 Prihodi za financiranje rashoda poslovanja za EU projekte (sukladno uputi za izradu prijedloga državnog proračuna RH za razdoblje 2025. – 2027. gdje je propisano da se prihodi iz izvora financiranja 55, 56, 57 i 58 evidentiraju u okviru skupine 67 Prihodi iz nadležnog proračuna). Iznos prihoda za financiranje plaća djelatnika iz Nacionalnog plana oporavka i otpornosti u 2025. godini iznosi 58693,54 eura.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25.990,08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 2024. godini su evidentirani prihodi zaprimljeni od Hrvatskog zavoda za zapošljavanje u iznosu 25.990,08 eura (za financiranje plaća pripravnika). U 2025. godini ne postoji navedeni prihod, zbog toga što Ustanova više nema zaposlenih pripravnika.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625,3</w:t>
            </w:r>
          </w:p>
        </w:tc>
      </w:tr>
    </w:tbl>
    <w:p>
      <w:pPr>
        <w:spacing w:before="0" w:after="0"/>
      </w:pPr>
    </w:p>
    <w:p>
      <w:pPr>
        <w:jc w:val="both"/>
        <w:pStyle w:val="Normal"/>
        <w:spacing w:line="240" w:lineRule="auto"/>
      </w:pPr>
      <w:r>
        <w:rPr>
          <w:sz w:val="24"/>
          <w:rFonts w:ascii="Times New Roman" w:hAnsi="Times New Roman"/>
        </w:rPr>
        <w:t>U izvještajnom razdoblju uplaćeno je 1100,00 eura participacija za trošak smještaja korisnika, što je značajno više nego u prethodnom razdoblju. Uplate su realizirane od strane roditelja/skrbnika koji su obveznici plaćanja participacije za smještaj korisnika (sukladno Rješenjima nadležnih podružnica HZSR-a). Povećanje prihoda je rezultat redovnog plaćanja pojedinih obveznika sukladno Rješenjima. Iznos prihoda koji je zaprimljen na žiro račun Ustanove je u cijelosti uplaćen u Državni proračun (iznos jednak rashodu 3691 – Tekući prijenosi između proračunskih korisnika istog proračuna).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w:t>
            </w:r>
          </w:p>
        </w:tc>
      </w:tr>
    </w:tbl>
    <w:p>
      <w:pPr>
        <w:spacing w:before="0" w:after="0"/>
      </w:pPr>
    </w:p>
    <w:p>
      <w:pPr>
        <w:jc w:val="both"/>
        <w:pStyle w:val="Normal"/>
        <w:spacing w:line="240" w:lineRule="auto"/>
      </w:pPr>
      <w:r>
        <w:rPr>
          <w:sz w:val="24"/>
          <w:rFonts w:ascii="Times New Roman" w:hAnsi="Times New Roman"/>
        </w:rPr>
        <w:t>U izvještajnom razdoblju zaprimljeno je 6066,00 eura namjenskih i nenamjenskih donacija pravnih i fizičkih osoba, što je približno jednako u prethodnom izvještajnom razdoblju.</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486.801,30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668.438,89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pPr>
        <w:jc w:val="both"/>
        <w:pStyle w:val="Normal"/>
        <w:spacing w:line="240" w:lineRule="auto"/>
      </w:pPr>
      <w:r>
        <w:rPr>
          <w:sz w:val="24"/>
          <w:rFonts w:ascii="Times New Roman" w:hAnsi="Times New Roman"/>
        </w:rPr>
        <w:t>U izvještajnom razdoblju utrošeno je 668.438,89 eura prihoda iz proračuna za financiranje rashoda poslovanja. Povećanje u odnosu na prošlogodišnje razdoblje je rezultat većih rashoda poslovanja, ali i evidentiranje prihoda za financiranje plaća djelatnika iz Nacionalnog plana oporavka i otpornosti u navedenu stavku (analitika 6711163 u iznosu od 58.693,54 eura).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802,9</w:t>
            </w:r>
          </w:p>
        </w:tc>
      </w:tr>
    </w:tbl>
    <w:p>
      <w:pPr>
        <w:spacing w:before="0" w:after="0"/>
      </w:pPr>
    </w:p>
    <w:p>
      <w:pPr>
        <w:jc w:val="both"/>
        <w:pStyle w:val="Normal"/>
        <w:spacing w:line="240" w:lineRule="auto"/>
      </w:pPr>
      <w:r>
        <w:rPr>
          <w:sz w:val="24"/>
          <w:rFonts w:ascii="Times New Roman" w:hAnsi="Times New Roman"/>
        </w:rPr>
        <w:t>Prihodi iz nadležnog proračuna za nabavu osnovnih sredstava u iznosu od 7.273,70 eura se odnose na nabavu namještaja za novu lokaciju poslovanja – stan za organizirano stanovanje korisnika uz sveobuhvatnu podršku.</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492.317,56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650.198,45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w:t>
            </w:r>
          </w:p>
        </w:tc>
      </w:tr>
    </w:tbl>
    <w:p>
      <w:pPr>
        <w:spacing w:before="0" w:after="0"/>
      </w:pPr>
    </w:p>
    <w:p>
      <w:pPr>
        <w:jc w:val="both"/>
        <w:pStyle w:val="Normal"/>
        <w:spacing w:line="240" w:lineRule="auto"/>
      </w:pPr>
      <w:r>
        <w:rPr>
          <w:sz w:val="24"/>
          <w:rFonts w:ascii="Times New Roman" w:hAnsi="Times New Roman"/>
        </w:rPr>
        <w:t>Ukupni rashodi za zaposlene u tekućem razdoblju iznose 650.198,45 eura, te su veći za 32,10% u odnosu na prethodno izvještajno razdoblje. Navedeno povećanje je rezultat važeće osnovice za obračun plaća i koeficijenata zaposlenika, većeg broja zaposlenika, ali i promjene računovodstvene metodologije u vezi obračuna plaća od 01.01.2025. (u tekućem razdoblju je prikazan trošak plaća od prosinca 2024. do rujna 2025. , a u prethodnom od siječnja do rujna 2024. , sukladno novom Pravilniku o proračunskom računovodstvu i računskom planu) . Na dan 30.09.2025. godine u CPUZ Vrbina Sisak je zaposleno 26 djelatnika, od toga 23 redovna zaposlenika i 3 zaposlenika  čija se plaća financira iz sredstava NPOO 2021.-2026.</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1873,7</w:t>
            </w:r>
          </w:p>
        </w:tc>
      </w:tr>
    </w:tbl>
    <w:p>
      <w:pPr>
        <w:spacing w:before="0" w:after="0"/>
      </w:pPr>
    </w:p>
    <w:p>
      <w:pPr>
        <w:jc w:val="both"/>
        <w:pStyle w:val="Normal"/>
        <w:spacing w:line="240" w:lineRule="auto"/>
      </w:pPr>
      <w:r>
        <w:rPr>
          <w:sz w:val="24"/>
          <w:rFonts w:ascii="Times New Roman" w:hAnsi="Times New Roman"/>
        </w:rPr>
        <w:t>U tekućem izvještajnom razdoblju je evidentiran prekovremeni rad djelatnika u iznosu od 1.151,38 eura, budući da je bio nužan sukladno nastalim potrebama Ustanove (odnosi se na prekovremene sate 6 djelatnika u 2 mjesečna razdoblja).</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63.725,52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90.368,73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141,8</w:t>
            </w:r>
          </w:p>
        </w:tc>
      </w:tr>
    </w:tbl>
    <w:p>
      <w:pPr>
        <w:spacing w:before="0" w:after="0"/>
      </w:pPr>
    </w:p>
    <w:p>
      <w:pPr>
        <w:jc w:val="both"/>
        <w:pStyle w:val="Normal"/>
        <w:spacing w:line="240" w:lineRule="auto"/>
      </w:pPr>
      <w:r>
        <w:rPr>
          <w:sz w:val="24"/>
          <w:rFonts w:ascii="Times New Roman" w:hAnsi="Times New Roman"/>
        </w:rPr>
        <w:t>Evidentirani su veći doprinosi za obvezno zdravstveno osiguranje (doprinosi na plaću), sukladno većim iznosima bruto plaća u tekućem razdoblju.</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w:t>
            </w:r>
          </w:p>
        </w:tc>
      </w:tr>
    </w:tbl>
    <w:p>
      <w:pPr>
        <w:spacing w:before="0" w:after="0"/>
      </w:pPr>
    </w:p>
    <w:p>
      <w:pPr>
        <w:jc w:val="both"/>
        <w:pStyle w:val="Normal"/>
        <w:spacing w:line="240" w:lineRule="auto"/>
      </w:pPr>
      <w:r>
        <w:rPr>
          <w:sz w:val="24"/>
          <w:rFonts w:ascii="Times New Roman" w:hAnsi="Times New Roman"/>
        </w:rPr>
        <w:t>Rashodi za službena putovanja obuhvaćaju dnevnice i ostale troškove na službenim putovanjima (prijevoz, parking, cestarina). Povećanje je rezultat realiziranih službenih putovanja sukladno potrebi Ustanove (pratnja korisnika, izleti, odlasci na edukacije).</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pPr>
        <w:jc w:val="both"/>
        <w:pStyle w:val="Normal"/>
        <w:spacing w:line="240" w:lineRule="auto"/>
      </w:pPr>
      <w:r>
        <w:rPr>
          <w:sz w:val="24"/>
          <w:rFonts w:ascii="Times New Roman" w:hAnsi="Times New Roman"/>
        </w:rPr>
        <w:t>Naknada za prijevoz zaposlenih u izvještajnom razdoblju iznosi 14.937,66 eura (+19,20%). Navedeno je rezultat većeg troška prijevoza zaposlenika na posao i s posla, sukladno njihovom prebivalištu/boravištu i trošku prijevoza po prijeđenoj kilometraži (veći broj zaposlenika s prebivalištem/boravištem s većom udaljenosti od mjesta rada nego u prethodnom razdoblju).</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w:t>
            </w:r>
          </w:p>
        </w:tc>
      </w:tr>
    </w:tbl>
    <w:p>
      <w:pPr>
        <w:spacing w:before="0" w:after="0"/>
      </w:pPr>
    </w:p>
    <w:p>
      <w:pPr>
        <w:jc w:val="both"/>
        <w:pStyle w:val="Normal"/>
        <w:spacing w:line="240" w:lineRule="auto"/>
      </w:pPr>
      <w:r>
        <w:rPr>
          <w:sz w:val="24"/>
          <w:rFonts w:ascii="Times New Roman" w:hAnsi="Times New Roman"/>
        </w:rPr>
        <w:t>Evidentirani su veći troškovi energije, prvenstveno troškovi opskrbe energentima zbog poslovanja na novoj lokaciji (stan za organizirano stanovanje uz sveobuhvatnu podršku).</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286,4</w:t>
            </w:r>
          </w:p>
        </w:tc>
      </w:tr>
    </w:tbl>
    <w:p>
      <w:pPr>
        <w:spacing w:before="0" w:after="0"/>
      </w:pPr>
    </w:p>
    <w:p>
      <w:pPr>
        <w:jc w:val="both"/>
        <w:pStyle w:val="Normal"/>
        <w:spacing w:line="240" w:lineRule="auto"/>
      </w:pPr>
      <w:r>
        <w:rPr>
          <w:sz w:val="24"/>
          <w:rFonts w:ascii="Times New Roman" w:hAnsi="Times New Roman"/>
        </w:rPr>
        <w:t>Evidentirana je veća nabava službene obuće zbog potrebe nabave navedenog za nove zaposlenike Ustanove (zaposlenici koji rade na novootvorenoj lokaciji, dok u razdoblju prošle godine navedeni trošak nije postojao).</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w:t>
            </w:r>
          </w:p>
        </w:tc>
      </w:tr>
    </w:tbl>
    <w:p>
      <w:pPr>
        <w:spacing w:before="0" w:after="0"/>
      </w:pPr>
    </w:p>
    <w:p>
      <w:pPr>
        <w:jc w:val="both"/>
        <w:pStyle w:val="Normal"/>
        <w:spacing w:line="240" w:lineRule="auto"/>
      </w:pPr>
      <w:r>
        <w:rPr>
          <w:sz w:val="24"/>
          <w:rFonts w:ascii="Times New Roman" w:hAnsi="Times New Roman"/>
        </w:rPr>
        <w:t>Povećanje rashoda tekućeg i investicijskog održavanja je rezultat većih troškova održavanja postrojenja i opreme, a odnosi se na trošak održavanja novonabavljenih klima uređaja.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pPr>
        <w:jc w:val="both"/>
        <w:pStyle w:val="Normal"/>
        <w:spacing w:line="240" w:lineRule="auto"/>
      </w:pPr>
      <w:r>
        <w:rPr>
          <w:sz w:val="24"/>
          <w:rFonts w:ascii="Times New Roman" w:hAnsi="Times New Roman"/>
        </w:rPr>
        <w:t>Rashodi za usluge promidžbe i informiranja u izvještajnom razdoblju iznose 2.340,00 eura, a odnose se na objavu natječaja za zapošljavanje u Narodnim Novinama. Količina objavljenih natječaja u tekućem izvještajnom razdoblju je rezultat potrebe Ustanove za novim zapošljavanjima.</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pPr>
        <w:jc w:val="both"/>
        <w:pStyle w:val="Normal"/>
        <w:spacing w:line="240" w:lineRule="auto"/>
      </w:pPr>
      <w:r>
        <w:rPr>
          <w:sz w:val="24"/>
          <w:rFonts w:ascii="Times New Roman" w:hAnsi="Times New Roman"/>
        </w:rPr>
        <w:t>Povećanje režijskih troškova i komunalnih usluga zbog poslovanja na novoj lokaciji (stan za organizirano stanovanje uz sveobuhvatnu podršku) uz postojanje troškova poslovanja na postojećim lokacijama.</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w:t>
            </w:r>
          </w:p>
        </w:tc>
      </w:tr>
    </w:tbl>
    <w:p>
      <w:pPr>
        <w:spacing w:before="0" w:after="0"/>
      </w:pPr>
    </w:p>
    <w:p>
      <w:pPr>
        <w:jc w:val="both"/>
        <w:pStyle w:val="Normal"/>
        <w:spacing w:line="240" w:lineRule="auto"/>
      </w:pPr>
      <w:r>
        <w:rPr>
          <w:sz w:val="24"/>
          <w:rFonts w:ascii="Times New Roman" w:hAnsi="Times New Roman"/>
        </w:rPr>
        <w:t>Evidentirani rashod od 7.200,00 eura se odnosi na najam poslovnog prostora (stan za organizirano stanovanje korisnika Ustanove) koji je realiziran od listopada 2024. godine (800,00 eura mjesečno), dok je u prethodnom razdoblju navedeni trošak evidentiran za jednu mjesečnu ratu (plaćanje za listopad 2025. godine).</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w:t>
            </w:r>
          </w:p>
        </w:tc>
      </w:tr>
    </w:tbl>
    <w:p>
      <w:pPr>
        <w:spacing w:before="0" w:after="0"/>
      </w:pPr>
    </w:p>
    <w:p>
      <w:pPr>
        <w:jc w:val="both"/>
        <w:pStyle w:val="Normal"/>
        <w:spacing w:line="240" w:lineRule="auto"/>
      </w:pPr>
      <w:r>
        <w:rPr>
          <w:sz w:val="24"/>
          <w:rFonts w:ascii="Times New Roman" w:hAnsi="Times New Roman"/>
        </w:rPr>
        <w:t>Rashodi za intelektualne usluge u izvještajnom razdoblju 2025. se odnose na usluge zaštite na radu i zaštite od požara u iznosu od 1.291,60 eura. Rashodi su manji u odnosu na usporedno razdoblje zbog što nije nastala potreba za ostalim intelektualnim uslugama (odvjetničke usluge/pravno savjetovanje).</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w:t>
            </w:r>
          </w:p>
        </w:tc>
      </w:tr>
    </w:tbl>
    <w:p>
      <w:pPr>
        <w:spacing w:before="0" w:after="0"/>
      </w:pPr>
    </w:p>
    <w:p>
      <w:pPr>
        <w:jc w:val="both"/>
        <w:pStyle w:val="Normal"/>
        <w:spacing w:line="240" w:lineRule="auto"/>
      </w:pPr>
      <w:r>
        <w:rPr>
          <w:sz w:val="24"/>
          <w:rFonts w:ascii="Times New Roman" w:hAnsi="Times New Roman"/>
        </w:rPr>
        <w:t>U tekućem izvještajnom razdoblju je realizirano manje usluga održavanja računala, sukladno potrebama Ustanove.</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w:t>
            </w:r>
          </w:p>
        </w:tc>
      </w:tr>
    </w:tbl>
    <w:p>
      <w:pPr>
        <w:spacing w:before="0" w:after="0"/>
      </w:pPr>
    </w:p>
    <w:p>
      <w:pPr>
        <w:jc w:val="both"/>
        <w:pStyle w:val="Normal"/>
        <w:spacing w:line="240" w:lineRule="auto"/>
      </w:pPr>
      <w:r>
        <w:rPr>
          <w:sz w:val="24"/>
          <w:rFonts w:ascii="Times New Roman" w:hAnsi="Times New Roman"/>
        </w:rPr>
        <w:t>U tekućem izvještajnom razdoblju utrošeno je 1.246,22 eura za sjednice Upravnog vijeća. Realiziran je manji broj sjednica, sukladno potrebama Ustanove. U 2024. godini je bio potreban veći broj sjednica Upravnog vijeća zbog potrebe izbora Ravnatelja.</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w:t>
            </w:r>
          </w:p>
        </w:tc>
      </w:tr>
    </w:tbl>
    <w:p>
      <w:pPr>
        <w:spacing w:before="0" w:after="0"/>
      </w:pPr>
    </w:p>
    <w:p>
      <w:pPr>
        <w:jc w:val="both"/>
        <w:pStyle w:val="Normal"/>
        <w:spacing w:line="240" w:lineRule="auto"/>
      </w:pPr>
      <w:r>
        <w:rPr>
          <w:sz w:val="24"/>
          <w:rFonts w:ascii="Times New Roman" w:hAnsi="Times New Roman"/>
        </w:rPr>
        <w:t>Veći rashodi za pristojbe i naknade u 2024. godini su rezultat plaćanja starog dugovanja za novčanu naknadu zbog nezapošljavanja osoba s invaliditetom.</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pPr>
        <w:jc w:val="both"/>
        <w:pStyle w:val="Normal"/>
        <w:spacing w:line="240" w:lineRule="auto"/>
      </w:pPr>
      <w:r>
        <w:rPr>
          <w:sz w:val="24"/>
          <w:rFonts w:ascii="Times New Roman" w:hAnsi="Times New Roman"/>
        </w:rPr>
        <w:t>Ostali nespomenuti rashodi poslovanja u tekućem razdoblju iznose 379,00 eura, a u najvećem dijelu se odnose na troškove FINA certifikata (129,40 eura), rashode protokola (139,30 eura) i osiguranje korisnika Ustanove (76,00 eura).</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w:t>
            </w:r>
          </w:p>
        </w:tc>
      </w:tr>
    </w:tbl>
    <w:p>
      <w:pPr>
        <w:spacing w:before="0" w:after="0"/>
      </w:pPr>
    </w:p>
    <w:p>
      <w:pPr>
        <w:jc w:val="both"/>
        <w:pStyle w:val="Normal"/>
        <w:spacing w:line="240" w:lineRule="auto"/>
      </w:pPr>
      <w:r>
        <w:rPr>
          <w:sz w:val="24"/>
          <w:rFonts w:ascii="Times New Roman" w:hAnsi="Times New Roman"/>
        </w:rPr>
        <w:t>Bankarske usluge i usluge platnog prometa iznose 511,42 eura (+17,80% u odnosu na prethodno razdoblje). Povećanje je realizirano zbog iznosa naknada poslovne banke za korištenje navedenih usluga (ovisno o potrebnom obujmu korištenja usluga - uplate/isplate za potrebe blagajne i broj provedenih transakcija).</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w:t>
            </w:r>
          </w:p>
        </w:tc>
      </w:tr>
    </w:tbl>
    <w:p>
      <w:pPr>
        <w:spacing w:before="0" w:after="0"/>
      </w:pPr>
    </w:p>
    <w:p>
      <w:pPr>
        <w:jc w:val="both"/>
        <w:pStyle w:val="Normal"/>
        <w:spacing w:line="240" w:lineRule="auto"/>
      </w:pPr>
      <w:r>
        <w:rPr>
          <w:sz w:val="24"/>
          <w:rFonts w:ascii="Times New Roman" w:hAnsi="Times New Roman"/>
        </w:rPr>
        <w:t>Evidentirane su zatezne kamate u izvještajnom razdoblju u iznosu od 12,23 eura. Navedeno se odnosi na zatezne kamate iz redovnih poslovnih odnosa, vezane za kašnjenje pri plaćanju faktura dobavljača.</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625,3</w:t>
            </w:r>
          </w:p>
        </w:tc>
      </w:tr>
    </w:tbl>
    <w:p>
      <w:pPr>
        <w:spacing w:before="0" w:after="0"/>
      </w:pPr>
    </w:p>
    <w:p>
      <w:pPr>
        <w:jc w:val="both"/>
        <w:pStyle w:val="Normal"/>
        <w:spacing w:line="240" w:lineRule="auto"/>
      </w:pPr>
      <w:r>
        <w:rPr>
          <w:sz w:val="24"/>
          <w:rFonts w:ascii="Times New Roman" w:hAnsi="Times New Roman"/>
        </w:rPr>
        <w:t>Tekući prijenosi između proračunskih korisnika se odnose na uplatu zaprimljenih participacija za trošak smještaja korisnika u Državni proračun, u ukupnom iznosu od 1.100,00 eura (iznos je jednak prihodima ŠIFRA 6526, budući da su svi zaprimljeni prihodi uplaćeni u Državni proračun). Zaprimljen je veći iznos participacija sukladno realizaciji uplata od obveznika plaćanja participacije.</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w:t>
            </w:r>
          </w:p>
        </w:tc>
      </w:tr>
    </w:tbl>
    <w:p>
      <w:pPr>
        <w:spacing w:before="0" w:after="0"/>
      </w:pPr>
    </w:p>
    <w:p>
      <w:pPr>
        <w:jc w:val="both"/>
        <w:pStyle w:val="Normal"/>
        <w:spacing w:line="240" w:lineRule="auto"/>
      </w:pPr>
      <w:r>
        <w:rPr>
          <w:sz w:val="24"/>
          <w:rFonts w:ascii="Times New Roman" w:hAnsi="Times New Roman"/>
        </w:rPr>
        <w:t>Naknade građanima i kućanstvima u novcu u izvještajnom razdoblju iznose 7.668,56 eura (+23,70%). Navedeno je rezultat potrebe Ustanove za većom isplatom naknada za osobne potrebe korisnika (džeparca), sukladno zaprimljenim Rješenjima nadležnih područnih ureda HZSR-a, ali i veće osnovice za isplatu naknada u socijalnoj skrbi koja je na snazi od 01.01.2025. godine (NN 151/2024, Odluka Vlade o osnovici za izračun drugih naknada u sustavu socijalne skrbi, koja je važeća od 1.1.2025. godine).</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w:t>
            </w:r>
          </w:p>
        </w:tc>
      </w:tr>
    </w:tbl>
    <w:p>
      <w:pPr>
        <w:spacing w:before="0" w:after="0"/>
      </w:pPr>
    </w:p>
    <w:p>
      <w:pPr>
        <w:jc w:val="both"/>
        <w:pStyle w:val="Normal"/>
        <w:spacing w:line="240" w:lineRule="auto"/>
      </w:pPr>
      <w:r>
        <w:rPr>
          <w:sz w:val="24"/>
          <w:rFonts w:ascii="Times New Roman" w:hAnsi="Times New Roman"/>
        </w:rPr>
        <w:t>Iznos od 7.901,68 eura u tekućem izvještajnom razdoblju se odnosi na plaćene izlete, ljetovanja i ostale naknade korisnicima Ustanove u naravi. Navedeno povećanje je rezultat većih cijena usluga i potreba Ustanove. Također, dio ljetovanja u 2025. godini je plaćen od strane Ustanove iz donacijskih sredstava.</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Navedeno se odnosi na nabavu klima uređaja zbog dotrajalosti starih uređaja.</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881,1</w:t>
            </w:r>
          </w:p>
        </w:tc>
      </w:tr>
    </w:tbl>
    <w:p>
      <w:pPr>
        <w:spacing w:before="0" w:after="0"/>
      </w:pPr>
    </w:p>
    <w:p>
      <w:pPr>
        <w:jc w:val="both"/>
        <w:pStyle w:val="Normal"/>
        <w:spacing w:line="240" w:lineRule="auto"/>
      </w:pPr>
      <w:r>
        <w:rPr>
          <w:sz w:val="24"/>
          <w:rFonts w:ascii="Times New Roman" w:hAnsi="Times New Roman"/>
        </w:rPr>
        <w:t>U tekućem izvještajnom razdoblju je realizirana nabava osnovnih sredstava u iznosu od 7.982,55 eura, a odnosi se na potrebu za nabavom namještaja, i to: nabava namještaja za potrebe smještaja korisnika Ustanove u iznosu od 708,85 eura iz donacijskih sredstava, te nabava namještaja za potrebe Ustanove vezano za opremanje stana za organizirano stanovanje uz sveobuhvatnu podršku u iznosu od 7.273,70 eura (proračunska sredstva).</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78.578,05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1227,9</w:t>
            </w:r>
          </w:p>
        </w:tc>
      </w:tr>
    </w:tbl>
    <w:p>
      <w:pPr>
        <w:spacing w:before="0" w:after="0"/>
      </w:pPr>
    </w:p>
    <w:p>
      <w:pPr>
        <w:jc w:val="both"/>
        <w:pStyle w:val="Normal"/>
        <w:spacing w:line="240" w:lineRule="auto"/>
      </w:pPr>
      <w:r>
        <w:rPr>
          <w:sz w:val="24"/>
          <w:rFonts w:ascii="Times New Roman" w:hAnsi="Times New Roman"/>
        </w:rPr>
        <w:t>Iskazan je manjak prihoda i primitaka od 78.578,05 eura koji je u najvećem dijelu rezultat promjene računovodstvene metodologije od 01.01.2025. , manjak nastaje zbog knjigovodstvenog evidentiranja rashoda za 12/2024 u tekućoj godini. U 2024. godini je manjak nastao zbog podmirenja rashoda s prihodima koji su preneseni iz prethodnih godina (donacijska sredstva).</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392.573,57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303.732,66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w:t>
            </w:r>
          </w:p>
        </w:tc>
      </w:tr>
    </w:tbl>
    <w:p>
      <w:pPr>
        <w:spacing w:before="0" w:after="0"/>
      </w:pPr>
    </w:p>
    <w:p>
      <w:pPr>
        <w:jc w:val="both"/>
        <w:pStyle w:val="Normal"/>
        <w:spacing w:line="240" w:lineRule="auto"/>
      </w:pPr>
      <w:r>
        <w:rPr>
          <w:sz w:val="24"/>
          <w:rFonts w:ascii="Times New Roman" w:hAnsi="Times New Roman"/>
        </w:rPr>
        <w:t>Višak prihoda i primitaka raspoloživ u sljedećem razdoblju iznosi 303.732,66 eura (preneseni višak prihoda i primitaka od 382.310,71 eura je uvećan za prihode i primitke od 682.878,59 eura, i umanjen za rashode izdatke od 761.456,64 eura).</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52.554,28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Nije evidentiran iznos u tekućem izvještajnom razdoblju za aktivna vremenska razgraničenja, zbog promjene računovodstvene metodologije koja je stupila na snagu od 01.01.2025. godine (ukidanje skupine 193). „Podskupina 193 ukida se s danom 1. siječnja 2025. i neće se više koristiti za evidentiranje kontinuiranih rashoda u 2025. i nadalje. Subjekti koji su koristili podskupinu 193 do trenutka njenog ukidanja, u 2025. knjižit će trinaest rashoda odnosno jedan rashod više s obzirom na to da će rashodi u 2025. uključivati rashode za 12.2024. uz ostala razdoblja.“</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406.144,16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384.475,11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w:t>
            </w:r>
          </w:p>
        </w:tc>
      </w:tr>
    </w:tbl>
    <w:p>
      <w:pPr>
        <w:spacing w:before="0" w:after="0"/>
      </w:pPr>
    </w:p>
    <w:p>
      <w:pPr>
        <w:jc w:val="both"/>
        <w:pStyle w:val="Normal"/>
        <w:spacing w:line="240" w:lineRule="auto"/>
      </w:pPr>
      <w:r>
        <w:rPr>
          <w:sz w:val="24"/>
          <w:rFonts w:ascii="Times New Roman" w:hAnsi="Times New Roman"/>
        </w:rPr>
        <w:t>Stanje žiro računa na dan 01. siječnja 2025. godine iznosilo je 384.475,11 eura, od čega je 9.423,93 eura iznos doznačen od Hrvatskog zavoda za zapošljavanje za isplate plaće pripravnika (izvor 52) - pripravništvo iz 2024. koje je završilo u 2025. godini, iznos od 374.527,78 eura odnosi se na donacije pravnih i fizičkih osoba (izvor 61), iznos od 513,64 eura su vlastita sredstva (izvor 31), iznos od 9,76 eura odnosi na pasivnu kamatu (izvor 11).</w:t>
      </w:r>
    </w:p>
    <w:p/>
    <w:p>
      <w:pPr>
        <w:jc w:val="center"/>
        <w:pStyle w:val="Normal"/>
        <w:spacing w:line="240" w:lineRule="auto"/>
        <w:keepNext/>
      </w:pPr>
      <w:r>
        <w:rPr>
          <w:sz w:val="28"/>
          <w:rFonts w:ascii="Times New Roman" w:hAnsi="Times New Roman"/>
        </w:rPr>
        <w:t>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397.376,67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376.076,29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w:t>
            </w:r>
          </w:p>
        </w:tc>
      </w:tr>
    </w:tbl>
    <w:p>
      <w:pPr>
        <w:spacing w:before="0" w:after="0"/>
      </w:pPr>
    </w:p>
    <w:p>
      <w:pPr>
        <w:jc w:val="both"/>
        <w:pStyle w:val="Normal"/>
        <w:spacing w:line="240" w:lineRule="auto"/>
      </w:pPr>
      <w:r>
        <w:rPr>
          <w:sz w:val="24"/>
          <w:rFonts w:ascii="Times New Roman" w:hAnsi="Times New Roman"/>
        </w:rPr>
        <w:t>Stanje novčanih sredstava na kraju izvještajnog razdoblja (na dan 30.09.2025. godine) iznosi 376.076,29 eura (žiro račun 375.267,49 eura + blagajna 808,80 eura), a to je rezultat zbroja početnog stanja novčanih sredstava i ukupnih priljeva novca na novčane račune i blagajne, umanjenog za ukupne odljeve novca s novčanih računa i blagajni.</w:t>
      </w:r>
    </w:p>
    <w:p/>
    <w:p>
      <w:pPr>
        <w:jc w:val="center"/>
        <w:pStyle w:val="Normal"/>
        <w:spacing w:line="240" w:lineRule="auto"/>
        <w:keepNext/>
      </w:pPr>
      <w:r>
        <w:rPr>
          <w:sz w:val="28"/>
          <w:rFonts w:ascii="Times New Roman" w:hAnsi="Times New Roman"/>
        </w:rPr>
        <w:t>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Isplaćeni iznos od 441,44 eura se odnosi na novčanu pomoć zaposleniku za bolovanje duže od 90 dana, sukladno odredbama Temeljnog kolektivnog ugovora za zaposlenike u javnim službama.</w:t>
      </w:r>
    </w:p>
    <w:p/>
    <w:p>
      <w:pPr>
        <w:jc w:val="center"/>
        <w:pStyle w:val="Normal"/>
        <w:spacing w:line="240" w:lineRule="auto"/>
        <w:keepNext/>
      </w:pPr>
      <w:r>
        <w:rPr>
          <w:sz w:val="28"/>
          <w:rFonts w:ascii="Times New Roman" w:hAnsi="Times New Roman"/>
        </w:rPr>
        <w:t>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w:t>
            </w:r>
          </w:p>
        </w:tc>
      </w:tr>
    </w:tbl>
    <w:p>
      <w:pPr>
        <w:spacing w:before="0" w:after="0"/>
      </w:pPr>
    </w:p>
    <w:p>
      <w:pPr>
        <w:jc w:val="both"/>
        <w:pStyle w:val="Normal"/>
        <w:spacing w:line="240" w:lineRule="auto"/>
      </w:pPr>
      <w:r>
        <w:rPr>
          <w:sz w:val="24"/>
          <w:rFonts w:ascii="Times New Roman" w:hAnsi="Times New Roman"/>
        </w:rPr>
        <w:t>Veći iznos novčane naknade budući da je u 2024. godini realizirano plaćanje starog dugovanja po osnovi novčane naknade poslodavca zbog nezapošljavanja osoba s invaliditetom.</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54.276,14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obveza 1. siječnja 2025. godine iznosi 54.276,14 eura, a iznos je jednak stanju obveza na dan 31. prosinca 2024. godine.</w:t>
      </w:r>
    </w:p>
    <w:p/>
    <w:p>
      <w:pPr>
        <w:jc w:val="center"/>
        <w:pStyle w:val="Normal"/>
        <w:spacing w:line="240" w:lineRule="auto"/>
        <w:keepNext/>
      </w:pPr>
      <w:r>
        <w:rPr>
          <w:sz w:val="28"/>
          <w:rFonts w:ascii="Times New Roman" w:hAnsi="Times New Roman"/>
        </w:rPr>
        <w:t>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Nastale međusobne obveze subjekata općeg proračuna u izvještajnom razdoblju se odnose na obvezu za refundaciju bolovanja na teret HZZO-a u iznosu od 525,66 eura i uplaćenu pasivnu kamatu banke od 28,25 eura.</w:t>
      </w:r>
    </w:p>
    <w:p/>
    <w:p>
      <w:pPr>
        <w:jc w:val="center"/>
        <w:pStyle w:val="Normal"/>
        <w:spacing w:line="240" w:lineRule="auto"/>
        <w:keepNext/>
      </w:pPr>
      <w:r>
        <w:rPr>
          <w:sz w:val="28"/>
          <w:rFonts w:ascii="Times New Roman" w:hAnsi="Times New Roman"/>
        </w:rPr>
        <w:t>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Podmirene međusobne obveze subjekata općeg proračuna u iznosu od 1.371,03 se odnose na refundaciju bolovanja na teret HZZO-a u iznosu od 1.342,46 eura i uplatu pasivne kamate banke u Državni proračun u iznosu od 28,57 eura.</w:t>
      </w:r>
    </w:p>
    <w:p/>
    <w:p>
      <w:pPr>
        <w:jc w:val="center"/>
        <w:pStyle w:val="Normal"/>
        <w:spacing w:line="240" w:lineRule="auto"/>
        <w:keepNext/>
      </w:pPr>
      <w:r>
        <w:rPr>
          <w:sz w:val="28"/>
          <w:rFonts w:ascii="Times New Roman" w:hAnsi="Times New Roman"/>
        </w:rPr>
        <w:t>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72.181,16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obveza na dan 30.09.2025. godine iznosi 72.181,16 eura, a sastoji se od dospjelih obveza u iznosu od 87,25 eura (neplaćene fakture s datumom dospijeća prije 30.09.2025. godine) te nedospjelih obveza u iznosu od 72.093,91 eura (fakture s datumom dospijeća nakon 30.09.2025. godine i rashodi za plaće za 09/2025 koje su isplaćene u razdoblju 10/2025).</w:t>
      </w:r>
    </w:p>
    <w:p/>
    <w:p>
      <w:pPr>
        <w:jc w:val="center"/>
        <w:pStyle w:val="Normal"/>
        <w:spacing w:line="240" w:lineRule="auto"/>
        <w:keepNext/>
      </w:pPr>
      <w:r>
        <w:rPr>
          <w:sz w:val="28"/>
          <w:rFonts w:ascii="Times New Roman" w:hAnsi="Times New Roman"/>
        </w:rPr>
        <w:t>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Dospjele obveze u iznosu od 87,25 eura se odnosi na naknadno zaprimljene ulazne fakture s datumom dospijeća prije 30.09.2025. godine, a koje nisu plaćene zaključno sa 30.09.2025. godine (najveće prekoračenje dospijeća od 7 dana).</w:t>
      </w:r>
    </w:p>
    <w:p/>
    <w:p>
      <w:pPr>
        <w:jc w:val="center"/>
        <w:pStyle w:val="Normal"/>
        <w:spacing w:line="240" w:lineRule="auto"/>
        <w:keepNext/>
      </w:pPr>
      <w:r>
        <w:rPr>
          <w:sz w:val="28"/>
          <w:rFonts w:ascii="Times New Roman" w:hAnsi="Times New Roman"/>
        </w:rPr>
        <w:t>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72.093,91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nedospjelih obveza na dan 30.09.2025. iznosi 72.093,91 eura, što je rezultat zbroja međusobnih obveza proračunskih korisnika (V010) i obveza za rashode poslovanja (ND23).  Rashodi za plaće za rujan 2025. godine iznose 69.173,03 eura, a ostatak obveza se odnosi na ostale rashode koji nisu dospjeli.</w:t>
      </w:r>
    </w:p>
    <w:p/>
    <w:p>
      <w:pPr>
        <w:jc w:val="center"/>
        <w:pStyle w:val="Normal"/>
        <w:spacing w:line="240" w:lineRule="auto"/>
        <w:keepNext/>
      </w:pPr>
      <w:r>
        <w:rPr>
          <w:sz w:val="28"/>
          <w:rFonts w:ascii="Times New Roman" w:hAnsi="Times New Roman"/>
        </w:rPr>
        <w:t>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Međusobne obveze proračunskih korisnika na kraju izvještajnog razdoblja iznose 54,72 eura i odnose se na obvezu za povrat u proračun za refundaciju bolovanja na teret HZZO-a u iznosu od 45,28 eura, i obvezu na povrat pasivne kamate u iznosu od 9,44 eura.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43c4ed12d804a9c" /></Relationships>
</file>