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AC6D4E" w14:paraId="5654A9C6" w14:textId="77777777">
        <w:trPr>
          <w:tblCellSpacing w:w="60" w:type="dxa"/>
        </w:trPr>
        <w:tc>
          <w:tcPr>
            <w:tcW w:w="1200" w:type="pct"/>
            <w:shd w:val="clear" w:color="auto" w:fill="E7F0F9"/>
          </w:tcPr>
          <w:p w14:paraId="37622D57" w14:textId="77777777" w:rsidR="00AC6D4E" w:rsidRDefault="00000000">
            <w:pPr>
              <w:spacing w:after="0" w:line="240" w:lineRule="auto"/>
            </w:pPr>
            <w:r>
              <w:rPr>
                <w:b/>
              </w:rPr>
              <w:t>RKP broj</w:t>
            </w:r>
          </w:p>
        </w:tc>
        <w:tc>
          <w:tcPr>
            <w:tcW w:w="0" w:type="auto"/>
            <w:shd w:val="clear" w:color="auto" w:fill="E7F0F9"/>
          </w:tcPr>
          <w:p w14:paraId="4C7241D7" w14:textId="77777777" w:rsidR="00AC6D4E" w:rsidRDefault="00000000">
            <w:pPr>
              <w:spacing w:after="0" w:line="240" w:lineRule="auto"/>
            </w:pPr>
            <w:r>
              <w:t>7171</w:t>
            </w:r>
          </w:p>
        </w:tc>
      </w:tr>
      <w:tr w:rsidR="00AC6D4E" w14:paraId="54661856" w14:textId="77777777">
        <w:trPr>
          <w:tblCellSpacing w:w="60" w:type="dxa"/>
        </w:trPr>
        <w:tc>
          <w:tcPr>
            <w:tcW w:w="1200" w:type="pct"/>
            <w:shd w:val="clear" w:color="auto" w:fill="E7F0F9"/>
          </w:tcPr>
          <w:p w14:paraId="0901F483" w14:textId="77777777" w:rsidR="00AC6D4E" w:rsidRDefault="00000000">
            <w:pPr>
              <w:spacing w:after="0" w:line="240" w:lineRule="auto"/>
            </w:pPr>
            <w:r>
              <w:rPr>
                <w:b/>
              </w:rPr>
              <w:t>Naziv obveznika</w:t>
            </w:r>
          </w:p>
        </w:tc>
        <w:tc>
          <w:tcPr>
            <w:tcW w:w="0" w:type="auto"/>
            <w:shd w:val="clear" w:color="auto" w:fill="E7F0F9"/>
          </w:tcPr>
          <w:p w14:paraId="2B0E086D" w14:textId="77777777" w:rsidR="00AC6D4E" w:rsidRDefault="00000000">
            <w:pPr>
              <w:spacing w:after="0" w:line="240" w:lineRule="auto"/>
            </w:pPr>
            <w:r>
              <w:t>CENTAR ZA PRUŽANJE USLUGA U ZAJEDNICI VRBINA SISAK</w:t>
            </w:r>
          </w:p>
        </w:tc>
      </w:tr>
      <w:tr w:rsidR="00AC6D4E" w14:paraId="775EF34B" w14:textId="77777777">
        <w:trPr>
          <w:tblCellSpacing w:w="60" w:type="dxa"/>
        </w:trPr>
        <w:tc>
          <w:tcPr>
            <w:tcW w:w="1200" w:type="pct"/>
            <w:shd w:val="clear" w:color="auto" w:fill="E7F0F9"/>
          </w:tcPr>
          <w:p w14:paraId="6BC073CE" w14:textId="77777777" w:rsidR="00AC6D4E" w:rsidRDefault="00000000">
            <w:pPr>
              <w:spacing w:after="0" w:line="240" w:lineRule="auto"/>
            </w:pPr>
            <w:r>
              <w:rPr>
                <w:b/>
              </w:rPr>
              <w:t>Razina</w:t>
            </w:r>
          </w:p>
        </w:tc>
        <w:tc>
          <w:tcPr>
            <w:tcW w:w="0" w:type="auto"/>
            <w:shd w:val="clear" w:color="auto" w:fill="E7F0F9"/>
          </w:tcPr>
          <w:p w14:paraId="51279A80" w14:textId="77777777" w:rsidR="00AC6D4E" w:rsidRDefault="00000000">
            <w:pPr>
              <w:spacing w:after="0" w:line="240" w:lineRule="auto"/>
            </w:pPr>
            <w:r>
              <w:t>11</w:t>
            </w:r>
          </w:p>
        </w:tc>
      </w:tr>
    </w:tbl>
    <w:p w14:paraId="10A87970" w14:textId="77777777" w:rsidR="00AC6D4E" w:rsidRDefault="00000000">
      <w:r>
        <w:br/>
      </w:r>
    </w:p>
    <w:p w14:paraId="2A477476" w14:textId="77777777" w:rsidR="00AC6D4E" w:rsidRDefault="00000000">
      <w:pPr>
        <w:spacing w:line="240" w:lineRule="auto"/>
        <w:jc w:val="center"/>
      </w:pPr>
      <w:r>
        <w:rPr>
          <w:b/>
          <w:sz w:val="28"/>
        </w:rPr>
        <w:t>BILJEŠKE UZ FINANCIJSKE IZVJEŠTAJE</w:t>
      </w:r>
    </w:p>
    <w:p w14:paraId="124BA43E" w14:textId="77777777" w:rsidR="00AC6D4E" w:rsidRDefault="00000000">
      <w:pPr>
        <w:spacing w:line="240" w:lineRule="auto"/>
        <w:jc w:val="center"/>
      </w:pPr>
      <w:r>
        <w:rPr>
          <w:b/>
          <w:sz w:val="28"/>
        </w:rPr>
        <w:t>ZA RAZDOBLJE</w:t>
      </w:r>
    </w:p>
    <w:p w14:paraId="7AE89C09" w14:textId="77777777" w:rsidR="00AC6D4E" w:rsidRDefault="00000000">
      <w:pPr>
        <w:spacing w:line="240" w:lineRule="auto"/>
        <w:jc w:val="center"/>
      </w:pPr>
      <w:r>
        <w:rPr>
          <w:b/>
          <w:sz w:val="28"/>
        </w:rPr>
        <w:t>I - III 2026.</w:t>
      </w:r>
    </w:p>
    <w:p w14:paraId="48B70A58" w14:textId="77777777" w:rsidR="00AC6D4E" w:rsidRDefault="00AC6D4E"/>
    <w:p w14:paraId="31149C39" w14:textId="77777777" w:rsidR="00AC6D4E" w:rsidRDefault="00000000">
      <w:pPr>
        <w:keepNext/>
        <w:spacing w:line="240" w:lineRule="auto"/>
        <w:jc w:val="center"/>
      </w:pPr>
      <w:r>
        <w:rPr>
          <w:b/>
          <w:sz w:val="28"/>
        </w:rPr>
        <w:t>Izvještaj o prihodima i rashodima, primicima i izdacima</w:t>
      </w:r>
    </w:p>
    <w:p w14:paraId="7EBA10C4" w14:textId="77777777" w:rsidR="00AC6D4E"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6D4E" w14:paraId="05E9C663" w14:textId="77777777">
        <w:trPr>
          <w:cantSplit/>
        </w:trPr>
        <w:tc>
          <w:tcPr>
            <w:tcW w:w="700" w:type="dxa"/>
            <w:shd w:val="clear" w:color="auto" w:fill="E7F0F9"/>
            <w:tcMar>
              <w:top w:w="0" w:type="dxa"/>
              <w:bottom w:w="0" w:type="dxa"/>
            </w:tcMar>
            <w:vAlign w:val="center"/>
          </w:tcPr>
          <w:p w14:paraId="43223C25" w14:textId="77777777" w:rsidR="00AC6D4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6A248C" w14:textId="77777777" w:rsidR="00AC6D4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08BED0" w14:textId="77777777" w:rsidR="00AC6D4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8D14FD" w14:textId="77777777" w:rsidR="00AC6D4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6B2F88" w14:textId="77777777" w:rsidR="00AC6D4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0B7DE6" w14:textId="77777777" w:rsidR="00AC6D4E" w:rsidRDefault="00000000">
            <w:pPr>
              <w:keepNext/>
              <w:keepLines/>
              <w:spacing w:after="0" w:line="240" w:lineRule="auto"/>
              <w:jc w:val="center"/>
            </w:pPr>
            <w:r>
              <w:rPr>
                <w:b/>
                <w:sz w:val="18"/>
              </w:rPr>
              <w:t>Indeks (%)</w:t>
            </w:r>
          </w:p>
        </w:tc>
      </w:tr>
      <w:tr w:rsidR="00AC6D4E" w14:paraId="382147DA" w14:textId="77777777">
        <w:trPr>
          <w:cantSplit/>
          <w:trHeight w:val="560"/>
        </w:trPr>
        <w:tc>
          <w:tcPr>
            <w:tcW w:w="700" w:type="dxa"/>
            <w:tcMar>
              <w:top w:w="0" w:type="dxa"/>
              <w:bottom w:w="0" w:type="dxa"/>
            </w:tcMar>
            <w:vAlign w:val="center"/>
          </w:tcPr>
          <w:p w14:paraId="746C71AB" w14:textId="77777777" w:rsidR="00AC6D4E" w:rsidRDefault="00000000">
            <w:pPr>
              <w:keepNext/>
              <w:keepLines/>
              <w:spacing w:after="0" w:line="240" w:lineRule="auto"/>
            </w:pPr>
            <w:r>
              <w:rPr>
                <w:sz w:val="18"/>
              </w:rPr>
              <w:t>6</w:t>
            </w:r>
          </w:p>
        </w:tc>
        <w:tc>
          <w:tcPr>
            <w:tcW w:w="3180" w:type="dxa"/>
            <w:tcMar>
              <w:top w:w="0" w:type="dxa"/>
              <w:bottom w:w="0" w:type="dxa"/>
            </w:tcMar>
            <w:vAlign w:val="center"/>
          </w:tcPr>
          <w:p w14:paraId="7F51A5AD" w14:textId="77777777" w:rsidR="00AC6D4E"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A4DE816" w14:textId="77777777" w:rsidR="00AC6D4E" w:rsidRDefault="00000000">
            <w:pPr>
              <w:keepNext/>
              <w:keepLines/>
              <w:spacing w:after="0" w:line="240" w:lineRule="auto"/>
            </w:pPr>
            <w:r>
              <w:rPr>
                <w:sz w:val="18"/>
              </w:rPr>
              <w:t>6</w:t>
            </w:r>
          </w:p>
        </w:tc>
        <w:tc>
          <w:tcPr>
            <w:tcW w:w="1860" w:type="dxa"/>
            <w:tcMar>
              <w:top w:w="0" w:type="dxa"/>
              <w:bottom w:w="0" w:type="dxa"/>
            </w:tcMar>
            <w:vAlign w:val="center"/>
          </w:tcPr>
          <w:p w14:paraId="19CD9924" w14:textId="77777777" w:rsidR="00AC6D4E" w:rsidRDefault="00000000">
            <w:pPr>
              <w:keepNext/>
              <w:keepLines/>
              <w:spacing w:after="0" w:line="240" w:lineRule="auto"/>
              <w:jc w:val="right"/>
            </w:pPr>
            <w:r>
              <w:rPr>
                <w:sz w:val="18"/>
              </w:rPr>
              <w:t>197.924,54</w:t>
            </w:r>
          </w:p>
        </w:tc>
        <w:tc>
          <w:tcPr>
            <w:tcW w:w="1860" w:type="dxa"/>
            <w:tcMar>
              <w:top w:w="0" w:type="dxa"/>
              <w:bottom w:w="0" w:type="dxa"/>
            </w:tcMar>
            <w:vAlign w:val="center"/>
          </w:tcPr>
          <w:p w14:paraId="7F78CB5F" w14:textId="77777777" w:rsidR="00AC6D4E" w:rsidRDefault="00000000">
            <w:pPr>
              <w:keepNext/>
              <w:keepLines/>
              <w:spacing w:after="0" w:line="240" w:lineRule="auto"/>
              <w:jc w:val="right"/>
            </w:pPr>
            <w:r>
              <w:rPr>
                <w:sz w:val="18"/>
              </w:rPr>
              <w:t>252.524,22</w:t>
            </w:r>
          </w:p>
        </w:tc>
        <w:tc>
          <w:tcPr>
            <w:tcW w:w="700" w:type="dxa"/>
            <w:tcMar>
              <w:top w:w="0" w:type="dxa"/>
              <w:bottom w:w="0" w:type="dxa"/>
            </w:tcMar>
            <w:vAlign w:val="center"/>
          </w:tcPr>
          <w:p w14:paraId="581EFEC9" w14:textId="77777777" w:rsidR="00AC6D4E" w:rsidRDefault="00000000">
            <w:pPr>
              <w:keepNext/>
              <w:keepLines/>
              <w:spacing w:after="0" w:line="240" w:lineRule="auto"/>
              <w:jc w:val="right"/>
            </w:pPr>
            <w:r>
              <w:rPr>
                <w:sz w:val="18"/>
              </w:rPr>
              <w:t>127,6</w:t>
            </w:r>
          </w:p>
        </w:tc>
      </w:tr>
      <w:tr w:rsidR="00AC6D4E" w14:paraId="170A1F99" w14:textId="77777777">
        <w:trPr>
          <w:cantSplit/>
          <w:trHeight w:val="560"/>
        </w:trPr>
        <w:tc>
          <w:tcPr>
            <w:tcW w:w="700" w:type="dxa"/>
            <w:tcMar>
              <w:top w:w="0" w:type="dxa"/>
              <w:bottom w:w="0" w:type="dxa"/>
            </w:tcMar>
            <w:vAlign w:val="center"/>
          </w:tcPr>
          <w:p w14:paraId="6FCE4012" w14:textId="77777777" w:rsidR="00AC6D4E" w:rsidRDefault="00000000">
            <w:pPr>
              <w:keepNext/>
              <w:keepLines/>
              <w:spacing w:after="0" w:line="240" w:lineRule="auto"/>
            </w:pPr>
            <w:r>
              <w:rPr>
                <w:sz w:val="18"/>
              </w:rPr>
              <w:t>3</w:t>
            </w:r>
          </w:p>
        </w:tc>
        <w:tc>
          <w:tcPr>
            <w:tcW w:w="3180" w:type="dxa"/>
            <w:tcMar>
              <w:top w:w="0" w:type="dxa"/>
              <w:bottom w:w="0" w:type="dxa"/>
            </w:tcMar>
            <w:vAlign w:val="center"/>
          </w:tcPr>
          <w:p w14:paraId="567CF67D" w14:textId="77777777" w:rsidR="00AC6D4E"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1308EE4F" w14:textId="77777777" w:rsidR="00AC6D4E" w:rsidRDefault="00000000">
            <w:pPr>
              <w:keepNext/>
              <w:keepLines/>
              <w:spacing w:after="0" w:line="240" w:lineRule="auto"/>
            </w:pPr>
            <w:r>
              <w:rPr>
                <w:sz w:val="18"/>
              </w:rPr>
              <w:t>3</w:t>
            </w:r>
          </w:p>
        </w:tc>
        <w:tc>
          <w:tcPr>
            <w:tcW w:w="1860" w:type="dxa"/>
            <w:tcMar>
              <w:top w:w="0" w:type="dxa"/>
              <w:bottom w:w="0" w:type="dxa"/>
            </w:tcMar>
            <w:vAlign w:val="center"/>
          </w:tcPr>
          <w:p w14:paraId="58AAF875" w14:textId="77777777" w:rsidR="00AC6D4E" w:rsidRDefault="00000000">
            <w:pPr>
              <w:keepNext/>
              <w:keepLines/>
              <w:spacing w:after="0" w:line="240" w:lineRule="auto"/>
              <w:jc w:val="right"/>
            </w:pPr>
            <w:r>
              <w:rPr>
                <w:sz w:val="18"/>
              </w:rPr>
              <w:t>259.177,38</w:t>
            </w:r>
          </w:p>
        </w:tc>
        <w:tc>
          <w:tcPr>
            <w:tcW w:w="1860" w:type="dxa"/>
            <w:tcMar>
              <w:top w:w="0" w:type="dxa"/>
              <w:bottom w:w="0" w:type="dxa"/>
            </w:tcMar>
            <w:vAlign w:val="center"/>
          </w:tcPr>
          <w:p w14:paraId="320A7D57" w14:textId="77777777" w:rsidR="00AC6D4E" w:rsidRDefault="00000000">
            <w:pPr>
              <w:keepNext/>
              <w:keepLines/>
              <w:spacing w:after="0" w:line="240" w:lineRule="auto"/>
              <w:jc w:val="right"/>
            </w:pPr>
            <w:r>
              <w:rPr>
                <w:sz w:val="18"/>
              </w:rPr>
              <w:t>246.890,36</w:t>
            </w:r>
          </w:p>
        </w:tc>
        <w:tc>
          <w:tcPr>
            <w:tcW w:w="700" w:type="dxa"/>
            <w:tcMar>
              <w:top w:w="0" w:type="dxa"/>
              <w:bottom w:w="0" w:type="dxa"/>
            </w:tcMar>
            <w:vAlign w:val="center"/>
          </w:tcPr>
          <w:p w14:paraId="57774E77" w14:textId="77777777" w:rsidR="00AC6D4E" w:rsidRDefault="00000000">
            <w:pPr>
              <w:keepNext/>
              <w:keepLines/>
              <w:spacing w:after="0" w:line="240" w:lineRule="auto"/>
              <w:jc w:val="right"/>
            </w:pPr>
            <w:r>
              <w:rPr>
                <w:sz w:val="18"/>
              </w:rPr>
              <w:t>95,3</w:t>
            </w:r>
          </w:p>
        </w:tc>
      </w:tr>
      <w:tr w:rsidR="00AC6D4E" w14:paraId="15F32BFA" w14:textId="77777777">
        <w:trPr>
          <w:cantSplit/>
          <w:trHeight w:val="560"/>
        </w:trPr>
        <w:tc>
          <w:tcPr>
            <w:tcW w:w="700" w:type="dxa"/>
            <w:tcMar>
              <w:top w:w="0" w:type="dxa"/>
              <w:bottom w:w="0" w:type="dxa"/>
            </w:tcMar>
            <w:vAlign w:val="center"/>
          </w:tcPr>
          <w:p w14:paraId="7A6AE76D" w14:textId="77777777" w:rsidR="00AC6D4E" w:rsidRDefault="00AC6D4E">
            <w:pPr>
              <w:keepNext/>
              <w:keepLines/>
              <w:spacing w:after="0" w:line="240" w:lineRule="auto"/>
            </w:pPr>
          </w:p>
        </w:tc>
        <w:tc>
          <w:tcPr>
            <w:tcW w:w="3180" w:type="dxa"/>
            <w:tcMar>
              <w:top w:w="0" w:type="dxa"/>
              <w:bottom w:w="0" w:type="dxa"/>
            </w:tcMar>
            <w:vAlign w:val="center"/>
          </w:tcPr>
          <w:p w14:paraId="723D3F4C" w14:textId="77777777" w:rsidR="00AC6D4E"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32B24CCF" w14:textId="77777777" w:rsidR="00AC6D4E" w:rsidRDefault="00000000">
            <w:pPr>
              <w:keepNext/>
              <w:keepLines/>
              <w:spacing w:after="0" w:line="240" w:lineRule="auto"/>
            </w:pPr>
            <w:r>
              <w:rPr>
                <w:b/>
                <w:sz w:val="18"/>
              </w:rPr>
              <w:t>X001</w:t>
            </w:r>
          </w:p>
        </w:tc>
        <w:tc>
          <w:tcPr>
            <w:tcW w:w="1860" w:type="dxa"/>
            <w:tcMar>
              <w:top w:w="0" w:type="dxa"/>
              <w:bottom w:w="0" w:type="dxa"/>
            </w:tcMar>
            <w:vAlign w:val="center"/>
          </w:tcPr>
          <w:p w14:paraId="7D3960F6" w14:textId="77777777" w:rsidR="00AC6D4E" w:rsidRDefault="00000000">
            <w:pPr>
              <w:keepNext/>
              <w:keepLines/>
              <w:spacing w:after="0" w:line="240" w:lineRule="auto"/>
              <w:jc w:val="right"/>
            </w:pPr>
            <w:r>
              <w:rPr>
                <w:b/>
                <w:sz w:val="18"/>
              </w:rPr>
              <w:t>0,00</w:t>
            </w:r>
          </w:p>
        </w:tc>
        <w:tc>
          <w:tcPr>
            <w:tcW w:w="1860" w:type="dxa"/>
            <w:tcMar>
              <w:top w:w="0" w:type="dxa"/>
              <w:bottom w:w="0" w:type="dxa"/>
            </w:tcMar>
            <w:vAlign w:val="center"/>
          </w:tcPr>
          <w:p w14:paraId="1D49AD50" w14:textId="77777777" w:rsidR="00AC6D4E" w:rsidRDefault="00000000">
            <w:pPr>
              <w:keepNext/>
              <w:keepLines/>
              <w:spacing w:after="0" w:line="240" w:lineRule="auto"/>
              <w:jc w:val="right"/>
            </w:pPr>
            <w:r>
              <w:rPr>
                <w:b/>
                <w:sz w:val="18"/>
              </w:rPr>
              <w:t>5.633,86</w:t>
            </w:r>
          </w:p>
        </w:tc>
        <w:tc>
          <w:tcPr>
            <w:tcW w:w="700" w:type="dxa"/>
            <w:tcMar>
              <w:top w:w="0" w:type="dxa"/>
              <w:bottom w:w="0" w:type="dxa"/>
            </w:tcMar>
            <w:vAlign w:val="center"/>
          </w:tcPr>
          <w:p w14:paraId="2E8A97ED" w14:textId="77777777" w:rsidR="00AC6D4E" w:rsidRDefault="00000000">
            <w:pPr>
              <w:keepNext/>
              <w:keepLines/>
              <w:spacing w:after="0" w:line="240" w:lineRule="auto"/>
              <w:jc w:val="right"/>
            </w:pPr>
            <w:r>
              <w:rPr>
                <w:b/>
                <w:sz w:val="18"/>
              </w:rPr>
              <w:t>-</w:t>
            </w:r>
          </w:p>
        </w:tc>
      </w:tr>
      <w:tr w:rsidR="00AC6D4E" w14:paraId="63DE2463" w14:textId="77777777">
        <w:trPr>
          <w:cantSplit/>
          <w:trHeight w:val="560"/>
        </w:trPr>
        <w:tc>
          <w:tcPr>
            <w:tcW w:w="700" w:type="dxa"/>
            <w:tcMar>
              <w:top w:w="0" w:type="dxa"/>
              <w:bottom w:w="0" w:type="dxa"/>
            </w:tcMar>
            <w:vAlign w:val="center"/>
          </w:tcPr>
          <w:p w14:paraId="2CEAD73C" w14:textId="77777777" w:rsidR="00AC6D4E" w:rsidRDefault="00000000">
            <w:pPr>
              <w:keepNext/>
              <w:keepLines/>
              <w:spacing w:after="0" w:line="240" w:lineRule="auto"/>
            </w:pPr>
            <w:r>
              <w:rPr>
                <w:sz w:val="18"/>
              </w:rPr>
              <w:t>7</w:t>
            </w:r>
          </w:p>
        </w:tc>
        <w:tc>
          <w:tcPr>
            <w:tcW w:w="3180" w:type="dxa"/>
            <w:tcMar>
              <w:top w:w="0" w:type="dxa"/>
              <w:bottom w:w="0" w:type="dxa"/>
            </w:tcMar>
            <w:vAlign w:val="center"/>
          </w:tcPr>
          <w:p w14:paraId="484FE23A" w14:textId="77777777" w:rsidR="00AC6D4E"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BA6A536" w14:textId="77777777" w:rsidR="00AC6D4E" w:rsidRDefault="00000000">
            <w:pPr>
              <w:keepNext/>
              <w:keepLines/>
              <w:spacing w:after="0" w:line="240" w:lineRule="auto"/>
            </w:pPr>
            <w:r>
              <w:rPr>
                <w:sz w:val="18"/>
              </w:rPr>
              <w:t>7</w:t>
            </w:r>
          </w:p>
        </w:tc>
        <w:tc>
          <w:tcPr>
            <w:tcW w:w="1860" w:type="dxa"/>
            <w:tcMar>
              <w:top w:w="0" w:type="dxa"/>
              <w:bottom w:w="0" w:type="dxa"/>
            </w:tcMar>
            <w:vAlign w:val="center"/>
          </w:tcPr>
          <w:p w14:paraId="031CCFCE" w14:textId="77777777" w:rsidR="00AC6D4E" w:rsidRDefault="00000000">
            <w:pPr>
              <w:keepNext/>
              <w:keepLines/>
              <w:spacing w:after="0" w:line="240" w:lineRule="auto"/>
              <w:jc w:val="right"/>
            </w:pPr>
            <w:r>
              <w:rPr>
                <w:sz w:val="18"/>
              </w:rPr>
              <w:t>0,00</w:t>
            </w:r>
          </w:p>
        </w:tc>
        <w:tc>
          <w:tcPr>
            <w:tcW w:w="1860" w:type="dxa"/>
            <w:tcMar>
              <w:top w:w="0" w:type="dxa"/>
              <w:bottom w:w="0" w:type="dxa"/>
            </w:tcMar>
            <w:vAlign w:val="center"/>
          </w:tcPr>
          <w:p w14:paraId="035CB462" w14:textId="77777777" w:rsidR="00AC6D4E" w:rsidRDefault="00000000">
            <w:pPr>
              <w:keepNext/>
              <w:keepLines/>
              <w:spacing w:after="0" w:line="240" w:lineRule="auto"/>
              <w:jc w:val="right"/>
            </w:pPr>
            <w:r>
              <w:rPr>
                <w:sz w:val="18"/>
              </w:rPr>
              <w:t>0,00</w:t>
            </w:r>
          </w:p>
        </w:tc>
        <w:tc>
          <w:tcPr>
            <w:tcW w:w="700" w:type="dxa"/>
            <w:tcMar>
              <w:top w:w="0" w:type="dxa"/>
              <w:bottom w:w="0" w:type="dxa"/>
            </w:tcMar>
            <w:vAlign w:val="center"/>
          </w:tcPr>
          <w:p w14:paraId="1680BCF8" w14:textId="77777777" w:rsidR="00AC6D4E" w:rsidRDefault="00000000">
            <w:pPr>
              <w:keepNext/>
              <w:keepLines/>
              <w:spacing w:after="0" w:line="240" w:lineRule="auto"/>
              <w:jc w:val="right"/>
            </w:pPr>
            <w:r>
              <w:rPr>
                <w:sz w:val="18"/>
              </w:rPr>
              <w:t>-</w:t>
            </w:r>
          </w:p>
        </w:tc>
      </w:tr>
      <w:tr w:rsidR="00AC6D4E" w14:paraId="3B9189A4" w14:textId="77777777">
        <w:trPr>
          <w:cantSplit/>
          <w:trHeight w:val="560"/>
        </w:trPr>
        <w:tc>
          <w:tcPr>
            <w:tcW w:w="700" w:type="dxa"/>
            <w:tcMar>
              <w:top w:w="0" w:type="dxa"/>
              <w:bottom w:w="0" w:type="dxa"/>
            </w:tcMar>
            <w:vAlign w:val="center"/>
          </w:tcPr>
          <w:p w14:paraId="5C26E4A9" w14:textId="77777777" w:rsidR="00AC6D4E" w:rsidRDefault="00000000">
            <w:pPr>
              <w:keepNext/>
              <w:keepLines/>
              <w:spacing w:after="0" w:line="240" w:lineRule="auto"/>
            </w:pPr>
            <w:r>
              <w:rPr>
                <w:sz w:val="18"/>
              </w:rPr>
              <w:t>4</w:t>
            </w:r>
          </w:p>
        </w:tc>
        <w:tc>
          <w:tcPr>
            <w:tcW w:w="3180" w:type="dxa"/>
            <w:tcMar>
              <w:top w:w="0" w:type="dxa"/>
              <w:bottom w:w="0" w:type="dxa"/>
            </w:tcMar>
            <w:vAlign w:val="center"/>
          </w:tcPr>
          <w:p w14:paraId="5B1EFEC2" w14:textId="77777777" w:rsidR="00AC6D4E"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F2050BC" w14:textId="77777777" w:rsidR="00AC6D4E" w:rsidRDefault="00000000">
            <w:pPr>
              <w:keepNext/>
              <w:keepLines/>
              <w:spacing w:after="0" w:line="240" w:lineRule="auto"/>
            </w:pPr>
            <w:r>
              <w:rPr>
                <w:sz w:val="18"/>
              </w:rPr>
              <w:t>4</w:t>
            </w:r>
          </w:p>
        </w:tc>
        <w:tc>
          <w:tcPr>
            <w:tcW w:w="1860" w:type="dxa"/>
            <w:tcMar>
              <w:top w:w="0" w:type="dxa"/>
              <w:bottom w:w="0" w:type="dxa"/>
            </w:tcMar>
            <w:vAlign w:val="center"/>
          </w:tcPr>
          <w:p w14:paraId="25C62A98" w14:textId="77777777" w:rsidR="00AC6D4E" w:rsidRDefault="00000000">
            <w:pPr>
              <w:keepNext/>
              <w:keepLines/>
              <w:spacing w:after="0" w:line="240" w:lineRule="auto"/>
              <w:jc w:val="right"/>
            </w:pPr>
            <w:r>
              <w:rPr>
                <w:sz w:val="18"/>
              </w:rPr>
              <w:t>708,85</w:t>
            </w:r>
          </w:p>
        </w:tc>
        <w:tc>
          <w:tcPr>
            <w:tcW w:w="1860" w:type="dxa"/>
            <w:tcMar>
              <w:top w:w="0" w:type="dxa"/>
              <w:bottom w:w="0" w:type="dxa"/>
            </w:tcMar>
            <w:vAlign w:val="center"/>
          </w:tcPr>
          <w:p w14:paraId="3E5CCB15" w14:textId="77777777" w:rsidR="00AC6D4E" w:rsidRDefault="00000000">
            <w:pPr>
              <w:keepNext/>
              <w:keepLines/>
              <w:spacing w:after="0" w:line="240" w:lineRule="auto"/>
              <w:jc w:val="right"/>
            </w:pPr>
            <w:r>
              <w:rPr>
                <w:sz w:val="18"/>
              </w:rPr>
              <w:t>0,00</w:t>
            </w:r>
          </w:p>
        </w:tc>
        <w:tc>
          <w:tcPr>
            <w:tcW w:w="700" w:type="dxa"/>
            <w:tcMar>
              <w:top w:w="0" w:type="dxa"/>
              <w:bottom w:w="0" w:type="dxa"/>
            </w:tcMar>
            <w:vAlign w:val="center"/>
          </w:tcPr>
          <w:p w14:paraId="08E7B182" w14:textId="77777777" w:rsidR="00AC6D4E" w:rsidRDefault="00000000">
            <w:pPr>
              <w:keepNext/>
              <w:keepLines/>
              <w:spacing w:after="0" w:line="240" w:lineRule="auto"/>
              <w:jc w:val="right"/>
            </w:pPr>
            <w:r>
              <w:rPr>
                <w:sz w:val="18"/>
              </w:rPr>
              <w:t>0</w:t>
            </w:r>
          </w:p>
        </w:tc>
      </w:tr>
      <w:tr w:rsidR="00AC6D4E" w14:paraId="4E4E8D2A" w14:textId="77777777">
        <w:trPr>
          <w:cantSplit/>
          <w:trHeight w:val="560"/>
        </w:trPr>
        <w:tc>
          <w:tcPr>
            <w:tcW w:w="700" w:type="dxa"/>
            <w:tcMar>
              <w:top w:w="0" w:type="dxa"/>
              <w:bottom w:w="0" w:type="dxa"/>
            </w:tcMar>
            <w:vAlign w:val="center"/>
          </w:tcPr>
          <w:p w14:paraId="595A2202" w14:textId="77777777" w:rsidR="00AC6D4E" w:rsidRDefault="00AC6D4E">
            <w:pPr>
              <w:keepNext/>
              <w:keepLines/>
              <w:spacing w:after="0" w:line="240" w:lineRule="auto"/>
            </w:pPr>
          </w:p>
        </w:tc>
        <w:tc>
          <w:tcPr>
            <w:tcW w:w="3180" w:type="dxa"/>
            <w:tcMar>
              <w:top w:w="0" w:type="dxa"/>
              <w:bottom w:w="0" w:type="dxa"/>
            </w:tcMar>
            <w:vAlign w:val="center"/>
          </w:tcPr>
          <w:p w14:paraId="71D780DD" w14:textId="77777777" w:rsidR="00AC6D4E" w:rsidRDefault="00000000">
            <w:pPr>
              <w:keepNext/>
              <w:keepLines/>
              <w:spacing w:after="0" w:line="240" w:lineRule="auto"/>
            </w:pPr>
            <w:r>
              <w:rPr>
                <w:b/>
                <w:sz w:val="18"/>
              </w:rPr>
              <w:t>VIŠAK/MANJAK PRIHODA OD NEFINANCIJSKE IMOVINE (šifre 7-4, 4-7)</w:t>
            </w:r>
          </w:p>
        </w:tc>
        <w:tc>
          <w:tcPr>
            <w:tcW w:w="700" w:type="dxa"/>
            <w:tcMar>
              <w:top w:w="0" w:type="dxa"/>
              <w:bottom w:w="0" w:type="dxa"/>
            </w:tcMar>
            <w:vAlign w:val="center"/>
          </w:tcPr>
          <w:p w14:paraId="73778BD4" w14:textId="77777777" w:rsidR="00AC6D4E" w:rsidRDefault="00000000">
            <w:pPr>
              <w:keepNext/>
              <w:keepLines/>
              <w:spacing w:after="0" w:line="240" w:lineRule="auto"/>
            </w:pPr>
            <w:r>
              <w:rPr>
                <w:b/>
                <w:sz w:val="18"/>
              </w:rPr>
              <w:t>X002, Y002</w:t>
            </w:r>
          </w:p>
        </w:tc>
        <w:tc>
          <w:tcPr>
            <w:tcW w:w="1860" w:type="dxa"/>
            <w:tcMar>
              <w:top w:w="0" w:type="dxa"/>
              <w:bottom w:w="0" w:type="dxa"/>
            </w:tcMar>
            <w:vAlign w:val="center"/>
          </w:tcPr>
          <w:p w14:paraId="4C3C336F" w14:textId="77777777" w:rsidR="00AC6D4E" w:rsidRDefault="00000000">
            <w:pPr>
              <w:keepNext/>
              <w:keepLines/>
              <w:spacing w:after="0" w:line="240" w:lineRule="auto"/>
              <w:jc w:val="right"/>
            </w:pPr>
            <w:r>
              <w:rPr>
                <w:b/>
                <w:sz w:val="18"/>
              </w:rPr>
              <w:t>708,85</w:t>
            </w:r>
          </w:p>
        </w:tc>
        <w:tc>
          <w:tcPr>
            <w:tcW w:w="1860" w:type="dxa"/>
            <w:tcMar>
              <w:top w:w="0" w:type="dxa"/>
              <w:bottom w:w="0" w:type="dxa"/>
            </w:tcMar>
            <w:vAlign w:val="center"/>
          </w:tcPr>
          <w:p w14:paraId="3C8E070F" w14:textId="77777777" w:rsidR="00AC6D4E" w:rsidRDefault="00000000">
            <w:pPr>
              <w:keepNext/>
              <w:keepLines/>
              <w:spacing w:after="0" w:line="240" w:lineRule="auto"/>
              <w:jc w:val="right"/>
            </w:pPr>
            <w:r>
              <w:rPr>
                <w:b/>
                <w:sz w:val="18"/>
              </w:rPr>
              <w:t>0,00</w:t>
            </w:r>
          </w:p>
        </w:tc>
        <w:tc>
          <w:tcPr>
            <w:tcW w:w="700" w:type="dxa"/>
            <w:tcMar>
              <w:top w:w="0" w:type="dxa"/>
              <w:bottom w:w="0" w:type="dxa"/>
            </w:tcMar>
            <w:vAlign w:val="center"/>
          </w:tcPr>
          <w:p w14:paraId="2FB1AD35" w14:textId="77777777" w:rsidR="00AC6D4E" w:rsidRDefault="00000000">
            <w:pPr>
              <w:keepNext/>
              <w:keepLines/>
              <w:spacing w:after="0" w:line="240" w:lineRule="auto"/>
              <w:jc w:val="right"/>
            </w:pPr>
            <w:r>
              <w:rPr>
                <w:b/>
                <w:sz w:val="18"/>
              </w:rPr>
              <w:t>0</w:t>
            </w:r>
          </w:p>
        </w:tc>
      </w:tr>
      <w:tr w:rsidR="00AC6D4E" w14:paraId="3CE2F950" w14:textId="77777777">
        <w:trPr>
          <w:cantSplit/>
          <w:trHeight w:val="560"/>
        </w:trPr>
        <w:tc>
          <w:tcPr>
            <w:tcW w:w="700" w:type="dxa"/>
            <w:tcMar>
              <w:top w:w="0" w:type="dxa"/>
              <w:bottom w:w="0" w:type="dxa"/>
            </w:tcMar>
            <w:vAlign w:val="center"/>
          </w:tcPr>
          <w:p w14:paraId="368A65F7" w14:textId="77777777" w:rsidR="00AC6D4E" w:rsidRDefault="00000000">
            <w:pPr>
              <w:keepNext/>
              <w:keepLines/>
              <w:spacing w:after="0" w:line="240" w:lineRule="auto"/>
            </w:pPr>
            <w:r>
              <w:rPr>
                <w:sz w:val="18"/>
              </w:rPr>
              <w:t>8</w:t>
            </w:r>
          </w:p>
        </w:tc>
        <w:tc>
          <w:tcPr>
            <w:tcW w:w="3180" w:type="dxa"/>
            <w:tcMar>
              <w:top w:w="0" w:type="dxa"/>
              <w:bottom w:w="0" w:type="dxa"/>
            </w:tcMar>
            <w:vAlign w:val="center"/>
          </w:tcPr>
          <w:p w14:paraId="7676892C" w14:textId="77777777" w:rsidR="00AC6D4E"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3C795206" w14:textId="77777777" w:rsidR="00AC6D4E" w:rsidRDefault="00000000">
            <w:pPr>
              <w:keepNext/>
              <w:keepLines/>
              <w:spacing w:after="0" w:line="240" w:lineRule="auto"/>
            </w:pPr>
            <w:r>
              <w:rPr>
                <w:sz w:val="18"/>
              </w:rPr>
              <w:t>8</w:t>
            </w:r>
          </w:p>
        </w:tc>
        <w:tc>
          <w:tcPr>
            <w:tcW w:w="1860" w:type="dxa"/>
            <w:tcMar>
              <w:top w:w="0" w:type="dxa"/>
              <w:bottom w:w="0" w:type="dxa"/>
            </w:tcMar>
            <w:vAlign w:val="center"/>
          </w:tcPr>
          <w:p w14:paraId="154C7F88" w14:textId="77777777" w:rsidR="00AC6D4E" w:rsidRDefault="00000000">
            <w:pPr>
              <w:keepNext/>
              <w:keepLines/>
              <w:spacing w:after="0" w:line="240" w:lineRule="auto"/>
              <w:jc w:val="right"/>
            </w:pPr>
            <w:r>
              <w:rPr>
                <w:sz w:val="18"/>
              </w:rPr>
              <w:t>0,00</w:t>
            </w:r>
          </w:p>
        </w:tc>
        <w:tc>
          <w:tcPr>
            <w:tcW w:w="1860" w:type="dxa"/>
            <w:tcMar>
              <w:top w:w="0" w:type="dxa"/>
              <w:bottom w:w="0" w:type="dxa"/>
            </w:tcMar>
            <w:vAlign w:val="center"/>
          </w:tcPr>
          <w:p w14:paraId="32C54598" w14:textId="77777777" w:rsidR="00AC6D4E" w:rsidRDefault="00000000">
            <w:pPr>
              <w:keepNext/>
              <w:keepLines/>
              <w:spacing w:after="0" w:line="240" w:lineRule="auto"/>
              <w:jc w:val="right"/>
            </w:pPr>
            <w:r>
              <w:rPr>
                <w:sz w:val="18"/>
              </w:rPr>
              <w:t>0,00</w:t>
            </w:r>
          </w:p>
        </w:tc>
        <w:tc>
          <w:tcPr>
            <w:tcW w:w="700" w:type="dxa"/>
            <w:tcMar>
              <w:top w:w="0" w:type="dxa"/>
              <w:bottom w:w="0" w:type="dxa"/>
            </w:tcMar>
            <w:vAlign w:val="center"/>
          </w:tcPr>
          <w:p w14:paraId="550BB31B" w14:textId="77777777" w:rsidR="00AC6D4E" w:rsidRDefault="00000000">
            <w:pPr>
              <w:keepNext/>
              <w:keepLines/>
              <w:spacing w:after="0" w:line="240" w:lineRule="auto"/>
              <w:jc w:val="right"/>
            </w:pPr>
            <w:r>
              <w:rPr>
                <w:sz w:val="18"/>
              </w:rPr>
              <w:t>-</w:t>
            </w:r>
          </w:p>
        </w:tc>
      </w:tr>
      <w:tr w:rsidR="00AC6D4E" w14:paraId="55F0D8E6" w14:textId="77777777">
        <w:trPr>
          <w:cantSplit/>
          <w:trHeight w:val="560"/>
        </w:trPr>
        <w:tc>
          <w:tcPr>
            <w:tcW w:w="700" w:type="dxa"/>
            <w:tcMar>
              <w:top w:w="0" w:type="dxa"/>
              <w:bottom w:w="0" w:type="dxa"/>
            </w:tcMar>
            <w:vAlign w:val="center"/>
          </w:tcPr>
          <w:p w14:paraId="6A83381E" w14:textId="77777777" w:rsidR="00AC6D4E" w:rsidRDefault="00000000">
            <w:pPr>
              <w:keepNext/>
              <w:keepLines/>
              <w:spacing w:after="0" w:line="240" w:lineRule="auto"/>
            </w:pPr>
            <w:r>
              <w:rPr>
                <w:sz w:val="18"/>
              </w:rPr>
              <w:t>5</w:t>
            </w:r>
          </w:p>
        </w:tc>
        <w:tc>
          <w:tcPr>
            <w:tcW w:w="3180" w:type="dxa"/>
            <w:tcMar>
              <w:top w:w="0" w:type="dxa"/>
              <w:bottom w:w="0" w:type="dxa"/>
            </w:tcMar>
            <w:vAlign w:val="center"/>
          </w:tcPr>
          <w:p w14:paraId="470CD0BB" w14:textId="77777777" w:rsidR="00AC6D4E"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1B07D1C" w14:textId="77777777" w:rsidR="00AC6D4E" w:rsidRDefault="00000000">
            <w:pPr>
              <w:keepNext/>
              <w:keepLines/>
              <w:spacing w:after="0" w:line="240" w:lineRule="auto"/>
            </w:pPr>
            <w:r>
              <w:rPr>
                <w:sz w:val="18"/>
              </w:rPr>
              <w:t>5</w:t>
            </w:r>
          </w:p>
        </w:tc>
        <w:tc>
          <w:tcPr>
            <w:tcW w:w="1860" w:type="dxa"/>
            <w:tcMar>
              <w:top w:w="0" w:type="dxa"/>
              <w:bottom w:w="0" w:type="dxa"/>
            </w:tcMar>
            <w:vAlign w:val="center"/>
          </w:tcPr>
          <w:p w14:paraId="7ABC7994" w14:textId="77777777" w:rsidR="00AC6D4E" w:rsidRDefault="00000000">
            <w:pPr>
              <w:keepNext/>
              <w:keepLines/>
              <w:spacing w:after="0" w:line="240" w:lineRule="auto"/>
              <w:jc w:val="right"/>
            </w:pPr>
            <w:r>
              <w:rPr>
                <w:sz w:val="18"/>
              </w:rPr>
              <w:t>0,00</w:t>
            </w:r>
          </w:p>
        </w:tc>
        <w:tc>
          <w:tcPr>
            <w:tcW w:w="1860" w:type="dxa"/>
            <w:tcMar>
              <w:top w:w="0" w:type="dxa"/>
              <w:bottom w:w="0" w:type="dxa"/>
            </w:tcMar>
            <w:vAlign w:val="center"/>
          </w:tcPr>
          <w:p w14:paraId="2B911DE0" w14:textId="77777777" w:rsidR="00AC6D4E" w:rsidRDefault="00000000">
            <w:pPr>
              <w:keepNext/>
              <w:keepLines/>
              <w:spacing w:after="0" w:line="240" w:lineRule="auto"/>
              <w:jc w:val="right"/>
            </w:pPr>
            <w:r>
              <w:rPr>
                <w:sz w:val="18"/>
              </w:rPr>
              <w:t>0,00</w:t>
            </w:r>
          </w:p>
        </w:tc>
        <w:tc>
          <w:tcPr>
            <w:tcW w:w="700" w:type="dxa"/>
            <w:tcMar>
              <w:top w:w="0" w:type="dxa"/>
              <w:bottom w:w="0" w:type="dxa"/>
            </w:tcMar>
            <w:vAlign w:val="center"/>
          </w:tcPr>
          <w:p w14:paraId="7933DEA2" w14:textId="77777777" w:rsidR="00AC6D4E" w:rsidRDefault="00000000">
            <w:pPr>
              <w:keepNext/>
              <w:keepLines/>
              <w:spacing w:after="0" w:line="240" w:lineRule="auto"/>
              <w:jc w:val="right"/>
            </w:pPr>
            <w:r>
              <w:rPr>
                <w:sz w:val="18"/>
              </w:rPr>
              <w:t>-</w:t>
            </w:r>
          </w:p>
        </w:tc>
      </w:tr>
      <w:tr w:rsidR="00AC6D4E" w14:paraId="1ED80DC1" w14:textId="77777777">
        <w:trPr>
          <w:cantSplit/>
          <w:trHeight w:val="560"/>
        </w:trPr>
        <w:tc>
          <w:tcPr>
            <w:tcW w:w="700" w:type="dxa"/>
            <w:tcMar>
              <w:top w:w="0" w:type="dxa"/>
              <w:bottom w:w="0" w:type="dxa"/>
            </w:tcMar>
            <w:vAlign w:val="center"/>
          </w:tcPr>
          <w:p w14:paraId="13BDC6B3" w14:textId="77777777" w:rsidR="00AC6D4E" w:rsidRDefault="00AC6D4E">
            <w:pPr>
              <w:keepNext/>
              <w:keepLines/>
              <w:spacing w:after="0" w:line="240" w:lineRule="auto"/>
            </w:pPr>
          </w:p>
        </w:tc>
        <w:tc>
          <w:tcPr>
            <w:tcW w:w="3180" w:type="dxa"/>
            <w:tcMar>
              <w:top w:w="0" w:type="dxa"/>
              <w:bottom w:w="0" w:type="dxa"/>
            </w:tcMar>
            <w:vAlign w:val="center"/>
          </w:tcPr>
          <w:p w14:paraId="727C7E04" w14:textId="77777777" w:rsidR="00AC6D4E"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2CFB5A1D" w14:textId="77777777" w:rsidR="00AC6D4E" w:rsidRDefault="00000000">
            <w:pPr>
              <w:keepNext/>
              <w:keepLines/>
              <w:spacing w:after="0" w:line="240" w:lineRule="auto"/>
            </w:pPr>
            <w:r>
              <w:rPr>
                <w:b/>
                <w:sz w:val="18"/>
              </w:rPr>
              <w:t>X003, Y003</w:t>
            </w:r>
          </w:p>
        </w:tc>
        <w:tc>
          <w:tcPr>
            <w:tcW w:w="1860" w:type="dxa"/>
            <w:tcMar>
              <w:top w:w="0" w:type="dxa"/>
              <w:bottom w:w="0" w:type="dxa"/>
            </w:tcMar>
            <w:vAlign w:val="center"/>
          </w:tcPr>
          <w:p w14:paraId="41BCCB59" w14:textId="77777777" w:rsidR="00AC6D4E" w:rsidRDefault="00000000">
            <w:pPr>
              <w:keepNext/>
              <w:keepLines/>
              <w:spacing w:after="0" w:line="240" w:lineRule="auto"/>
              <w:jc w:val="right"/>
            </w:pPr>
            <w:r>
              <w:rPr>
                <w:b/>
                <w:sz w:val="18"/>
              </w:rPr>
              <w:t>0,00</w:t>
            </w:r>
          </w:p>
        </w:tc>
        <w:tc>
          <w:tcPr>
            <w:tcW w:w="1860" w:type="dxa"/>
            <w:tcMar>
              <w:top w:w="0" w:type="dxa"/>
              <w:bottom w:w="0" w:type="dxa"/>
            </w:tcMar>
            <w:vAlign w:val="center"/>
          </w:tcPr>
          <w:p w14:paraId="02D1F3BF" w14:textId="77777777" w:rsidR="00AC6D4E" w:rsidRDefault="00000000">
            <w:pPr>
              <w:keepNext/>
              <w:keepLines/>
              <w:spacing w:after="0" w:line="240" w:lineRule="auto"/>
              <w:jc w:val="right"/>
            </w:pPr>
            <w:r>
              <w:rPr>
                <w:b/>
                <w:sz w:val="18"/>
              </w:rPr>
              <w:t>0,00</w:t>
            </w:r>
          </w:p>
        </w:tc>
        <w:tc>
          <w:tcPr>
            <w:tcW w:w="700" w:type="dxa"/>
            <w:tcMar>
              <w:top w:w="0" w:type="dxa"/>
              <w:bottom w:w="0" w:type="dxa"/>
            </w:tcMar>
            <w:vAlign w:val="center"/>
          </w:tcPr>
          <w:p w14:paraId="4B8094C4" w14:textId="77777777" w:rsidR="00AC6D4E" w:rsidRDefault="00000000">
            <w:pPr>
              <w:keepNext/>
              <w:keepLines/>
              <w:spacing w:after="0" w:line="240" w:lineRule="auto"/>
              <w:jc w:val="right"/>
            </w:pPr>
            <w:r>
              <w:rPr>
                <w:b/>
                <w:sz w:val="18"/>
              </w:rPr>
              <w:t>-</w:t>
            </w:r>
          </w:p>
        </w:tc>
      </w:tr>
      <w:tr w:rsidR="00AC6D4E" w14:paraId="4DC86594" w14:textId="77777777">
        <w:trPr>
          <w:cantSplit/>
          <w:trHeight w:val="560"/>
        </w:trPr>
        <w:tc>
          <w:tcPr>
            <w:tcW w:w="700" w:type="dxa"/>
            <w:tcMar>
              <w:top w:w="0" w:type="dxa"/>
              <w:bottom w:w="0" w:type="dxa"/>
            </w:tcMar>
            <w:vAlign w:val="center"/>
          </w:tcPr>
          <w:p w14:paraId="61947AD4" w14:textId="77777777" w:rsidR="00AC6D4E" w:rsidRDefault="00AC6D4E">
            <w:pPr>
              <w:keepNext/>
              <w:keepLines/>
              <w:spacing w:after="0" w:line="240" w:lineRule="auto"/>
            </w:pPr>
          </w:p>
        </w:tc>
        <w:tc>
          <w:tcPr>
            <w:tcW w:w="3180" w:type="dxa"/>
            <w:tcMar>
              <w:top w:w="0" w:type="dxa"/>
              <w:bottom w:w="0" w:type="dxa"/>
            </w:tcMar>
            <w:vAlign w:val="center"/>
          </w:tcPr>
          <w:p w14:paraId="18390F6E" w14:textId="77777777" w:rsidR="00AC6D4E"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60119E77" w14:textId="77777777" w:rsidR="00AC6D4E" w:rsidRDefault="00000000">
            <w:pPr>
              <w:keepNext/>
              <w:keepLines/>
              <w:spacing w:after="0" w:line="240" w:lineRule="auto"/>
            </w:pPr>
            <w:r>
              <w:rPr>
                <w:b/>
                <w:sz w:val="18"/>
              </w:rPr>
              <w:t>X005</w:t>
            </w:r>
          </w:p>
        </w:tc>
        <w:tc>
          <w:tcPr>
            <w:tcW w:w="1860" w:type="dxa"/>
            <w:tcMar>
              <w:top w:w="0" w:type="dxa"/>
              <w:bottom w:w="0" w:type="dxa"/>
            </w:tcMar>
            <w:vAlign w:val="center"/>
          </w:tcPr>
          <w:p w14:paraId="1EF91B37" w14:textId="77777777" w:rsidR="00AC6D4E" w:rsidRDefault="00000000">
            <w:pPr>
              <w:keepNext/>
              <w:keepLines/>
              <w:spacing w:after="0" w:line="240" w:lineRule="auto"/>
              <w:jc w:val="right"/>
            </w:pPr>
            <w:r>
              <w:rPr>
                <w:b/>
                <w:sz w:val="18"/>
              </w:rPr>
              <w:t>0,00</w:t>
            </w:r>
          </w:p>
        </w:tc>
        <w:tc>
          <w:tcPr>
            <w:tcW w:w="1860" w:type="dxa"/>
            <w:tcMar>
              <w:top w:w="0" w:type="dxa"/>
              <w:bottom w:w="0" w:type="dxa"/>
            </w:tcMar>
            <w:vAlign w:val="center"/>
          </w:tcPr>
          <w:p w14:paraId="5595DA9B" w14:textId="77777777" w:rsidR="00AC6D4E" w:rsidRDefault="00000000">
            <w:pPr>
              <w:keepNext/>
              <w:keepLines/>
              <w:spacing w:after="0" w:line="240" w:lineRule="auto"/>
              <w:jc w:val="right"/>
            </w:pPr>
            <w:r>
              <w:rPr>
                <w:b/>
                <w:sz w:val="18"/>
              </w:rPr>
              <w:t>5.633,86</w:t>
            </w:r>
          </w:p>
        </w:tc>
        <w:tc>
          <w:tcPr>
            <w:tcW w:w="700" w:type="dxa"/>
            <w:tcMar>
              <w:top w:w="0" w:type="dxa"/>
              <w:bottom w:w="0" w:type="dxa"/>
            </w:tcMar>
            <w:vAlign w:val="center"/>
          </w:tcPr>
          <w:p w14:paraId="70F04D0A" w14:textId="77777777" w:rsidR="00AC6D4E" w:rsidRDefault="00000000">
            <w:pPr>
              <w:keepNext/>
              <w:keepLines/>
              <w:spacing w:after="0" w:line="240" w:lineRule="auto"/>
              <w:jc w:val="right"/>
            </w:pPr>
            <w:r>
              <w:rPr>
                <w:b/>
                <w:sz w:val="18"/>
              </w:rPr>
              <w:t>-</w:t>
            </w:r>
          </w:p>
        </w:tc>
      </w:tr>
    </w:tbl>
    <w:p w14:paraId="1BEDBCCE" w14:textId="77777777" w:rsidR="00AC6D4E" w:rsidRDefault="00AC6D4E">
      <w:pPr>
        <w:spacing w:after="0"/>
      </w:pPr>
    </w:p>
    <w:p w14:paraId="0A70DCBE" w14:textId="77777777" w:rsidR="00AC6D4E" w:rsidRDefault="00000000" w:rsidP="002D21C3">
      <w:pPr>
        <w:jc w:val="both"/>
      </w:pPr>
      <w:r>
        <w:t xml:space="preserve">Ukupni prihodi poslovanja u najvećem omjeru su prihodi iz nadležnog proračuna za financiranje redovne djelatnosti proračunskih korisnika (iznos od 248.436,80 eura ili 98,38% udio u ukupno realiziranim prihodima). Zbog većih rashoda poslovanja u prvom tromjesečju 2026. godine evidentiran je rast prihoda od 27,60%. Ukupni rashodi poslovanja iznose 246.890,36 eura te su manji od realiziranih prihoda poslovanja. Napomena: u rashode </w:t>
      </w:r>
      <w:r>
        <w:lastRenderedPageBreak/>
        <w:t>poslovanja su evidentirani rashodi za razdoblje 01-03/2026 , a prihodi za razdoblje 12/2025-02/2026, pa zbog toga je knjigovodstveno nastala razlika između prihoda i rashoda. Ostvaruje se višak prihoda i primitaka u iznosu od 5.633,86 eura, zbraja s postojećim viškom prihoda i primitaka, te se prenosi u iduće obračunsko razdoblje.</w:t>
      </w:r>
    </w:p>
    <w:p w14:paraId="26D11774" w14:textId="77777777" w:rsidR="00AC6D4E" w:rsidRDefault="00000000">
      <w:r>
        <w:br/>
      </w:r>
    </w:p>
    <w:p w14:paraId="3E7D79FC" w14:textId="77777777" w:rsidR="00AC6D4E"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6D4E" w14:paraId="04309AB3" w14:textId="77777777">
        <w:trPr>
          <w:cantSplit/>
        </w:trPr>
        <w:tc>
          <w:tcPr>
            <w:tcW w:w="700" w:type="dxa"/>
            <w:shd w:val="clear" w:color="auto" w:fill="E7F0F9"/>
            <w:tcMar>
              <w:top w:w="0" w:type="dxa"/>
              <w:bottom w:w="0" w:type="dxa"/>
            </w:tcMar>
            <w:vAlign w:val="center"/>
          </w:tcPr>
          <w:p w14:paraId="6EBD7EE7" w14:textId="77777777" w:rsidR="00AC6D4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BA5342" w14:textId="77777777" w:rsidR="00AC6D4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19082E" w14:textId="77777777" w:rsidR="00AC6D4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5BBAA2" w14:textId="77777777" w:rsidR="00AC6D4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139E3C" w14:textId="77777777" w:rsidR="00AC6D4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AA4548" w14:textId="77777777" w:rsidR="00AC6D4E" w:rsidRDefault="00000000">
            <w:pPr>
              <w:keepNext/>
              <w:keepLines/>
              <w:spacing w:after="0" w:line="240" w:lineRule="auto"/>
              <w:jc w:val="center"/>
            </w:pPr>
            <w:r>
              <w:rPr>
                <w:b/>
                <w:sz w:val="18"/>
              </w:rPr>
              <w:t>Indeks (%)</w:t>
            </w:r>
          </w:p>
        </w:tc>
      </w:tr>
      <w:tr w:rsidR="00AC6D4E" w14:paraId="25CB9F51" w14:textId="77777777">
        <w:trPr>
          <w:cantSplit/>
          <w:trHeight w:val="560"/>
        </w:trPr>
        <w:tc>
          <w:tcPr>
            <w:tcW w:w="700" w:type="dxa"/>
            <w:tcMar>
              <w:top w:w="0" w:type="dxa"/>
              <w:bottom w:w="0" w:type="dxa"/>
            </w:tcMar>
            <w:vAlign w:val="center"/>
          </w:tcPr>
          <w:p w14:paraId="57AB79B3" w14:textId="77777777" w:rsidR="00AC6D4E" w:rsidRDefault="00000000">
            <w:pPr>
              <w:keepNext/>
              <w:keepLines/>
              <w:spacing w:after="0" w:line="240" w:lineRule="auto"/>
            </w:pPr>
            <w:r>
              <w:rPr>
                <w:sz w:val="18"/>
              </w:rPr>
              <w:t>6323</w:t>
            </w:r>
          </w:p>
        </w:tc>
        <w:tc>
          <w:tcPr>
            <w:tcW w:w="3180" w:type="dxa"/>
            <w:tcMar>
              <w:top w:w="0" w:type="dxa"/>
              <w:bottom w:w="0" w:type="dxa"/>
            </w:tcMar>
            <w:vAlign w:val="center"/>
          </w:tcPr>
          <w:p w14:paraId="6868BC77" w14:textId="77777777" w:rsidR="00AC6D4E" w:rsidRDefault="00000000">
            <w:pPr>
              <w:keepNext/>
              <w:keepLines/>
              <w:spacing w:after="0" w:line="240" w:lineRule="auto"/>
            </w:pPr>
            <w:r>
              <w:rPr>
                <w:sz w:val="18"/>
              </w:rPr>
              <w:t>Tekuće pomoći od institucija i tijela EU</w:t>
            </w:r>
          </w:p>
        </w:tc>
        <w:tc>
          <w:tcPr>
            <w:tcW w:w="700" w:type="dxa"/>
            <w:tcMar>
              <w:top w:w="0" w:type="dxa"/>
              <w:bottom w:w="0" w:type="dxa"/>
            </w:tcMar>
            <w:vAlign w:val="center"/>
          </w:tcPr>
          <w:p w14:paraId="1513056A" w14:textId="77777777" w:rsidR="00AC6D4E" w:rsidRDefault="00000000">
            <w:pPr>
              <w:keepNext/>
              <w:keepLines/>
              <w:spacing w:after="0" w:line="240" w:lineRule="auto"/>
            </w:pPr>
            <w:r>
              <w:rPr>
                <w:sz w:val="18"/>
              </w:rPr>
              <w:t>6323</w:t>
            </w:r>
          </w:p>
        </w:tc>
        <w:tc>
          <w:tcPr>
            <w:tcW w:w="1860" w:type="dxa"/>
            <w:tcMar>
              <w:top w:w="0" w:type="dxa"/>
              <w:bottom w:w="0" w:type="dxa"/>
            </w:tcMar>
            <w:vAlign w:val="center"/>
          </w:tcPr>
          <w:p w14:paraId="15C3615E" w14:textId="77777777" w:rsidR="00AC6D4E" w:rsidRDefault="00000000">
            <w:pPr>
              <w:keepNext/>
              <w:keepLines/>
              <w:spacing w:after="0" w:line="240" w:lineRule="auto"/>
              <w:jc w:val="right"/>
            </w:pPr>
            <w:r>
              <w:rPr>
                <w:sz w:val="18"/>
              </w:rPr>
              <w:t>20.002,25</w:t>
            </w:r>
          </w:p>
        </w:tc>
        <w:tc>
          <w:tcPr>
            <w:tcW w:w="1860" w:type="dxa"/>
            <w:tcMar>
              <w:top w:w="0" w:type="dxa"/>
              <w:bottom w:w="0" w:type="dxa"/>
            </w:tcMar>
            <w:vAlign w:val="center"/>
          </w:tcPr>
          <w:p w14:paraId="037B0CEC" w14:textId="77777777" w:rsidR="00AC6D4E" w:rsidRDefault="00000000">
            <w:pPr>
              <w:keepNext/>
              <w:keepLines/>
              <w:spacing w:after="0" w:line="240" w:lineRule="auto"/>
              <w:jc w:val="right"/>
            </w:pPr>
            <w:r>
              <w:rPr>
                <w:sz w:val="18"/>
              </w:rPr>
              <w:t>0,00</w:t>
            </w:r>
          </w:p>
        </w:tc>
        <w:tc>
          <w:tcPr>
            <w:tcW w:w="700" w:type="dxa"/>
            <w:tcMar>
              <w:top w:w="0" w:type="dxa"/>
              <w:bottom w:w="0" w:type="dxa"/>
            </w:tcMar>
            <w:vAlign w:val="center"/>
          </w:tcPr>
          <w:p w14:paraId="22AB6EF0" w14:textId="77777777" w:rsidR="00AC6D4E" w:rsidRDefault="00000000">
            <w:pPr>
              <w:keepNext/>
              <w:keepLines/>
              <w:spacing w:after="0" w:line="240" w:lineRule="auto"/>
              <w:jc w:val="right"/>
            </w:pPr>
            <w:r>
              <w:rPr>
                <w:sz w:val="18"/>
              </w:rPr>
              <w:t>0</w:t>
            </w:r>
          </w:p>
        </w:tc>
      </w:tr>
    </w:tbl>
    <w:p w14:paraId="0FABADC3" w14:textId="77777777" w:rsidR="00AC6D4E" w:rsidRDefault="00AC6D4E">
      <w:pPr>
        <w:spacing w:after="0"/>
      </w:pPr>
    </w:p>
    <w:p w14:paraId="4835C251" w14:textId="77777777" w:rsidR="00AC6D4E" w:rsidRDefault="00000000" w:rsidP="002D21C3">
      <w:pPr>
        <w:jc w:val="both"/>
      </w:pPr>
      <w:r>
        <w:t>Tekuće pomoći od institucija i tijela EU u 2025. godini su prihodi kojima su se financirale plaće djelatnika iz Nacionalnog plana oporavka i otpornosti (obiteljski suradnici i voditelji mjere intenzivne stručne pomoći i nadzora). U 2026. godini prihod nije prikazan zbog završetka navedenog načina financiranja iz NPOO. Napomena: prihodi za navedeno u siječnju 2026. iznose 4.299,54 eura, ali su iskazani na analitičkom računu 6711163 (sredstva za prosinac 2025. godine). Plaće navedenih djelatnika se u 2026. godini nastavljaju financirati iz Državnog proračuna.</w:t>
      </w:r>
    </w:p>
    <w:p w14:paraId="516C8B45" w14:textId="77777777" w:rsidR="00AC6D4E" w:rsidRDefault="00AC6D4E"/>
    <w:p w14:paraId="4C27BAD8" w14:textId="77777777" w:rsidR="00AC6D4E"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6D4E" w14:paraId="436AD236" w14:textId="77777777">
        <w:trPr>
          <w:cantSplit/>
        </w:trPr>
        <w:tc>
          <w:tcPr>
            <w:tcW w:w="700" w:type="dxa"/>
            <w:shd w:val="clear" w:color="auto" w:fill="E7F0F9"/>
            <w:tcMar>
              <w:top w:w="0" w:type="dxa"/>
              <w:bottom w:w="0" w:type="dxa"/>
            </w:tcMar>
            <w:vAlign w:val="center"/>
          </w:tcPr>
          <w:p w14:paraId="2B37D613" w14:textId="77777777" w:rsidR="00AC6D4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1C5612" w14:textId="77777777" w:rsidR="00AC6D4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1EA8BD" w14:textId="77777777" w:rsidR="00AC6D4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3C16FA" w14:textId="77777777" w:rsidR="00AC6D4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4A5720" w14:textId="77777777" w:rsidR="00AC6D4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FD4C74" w14:textId="77777777" w:rsidR="00AC6D4E" w:rsidRDefault="00000000">
            <w:pPr>
              <w:keepNext/>
              <w:keepLines/>
              <w:spacing w:after="0" w:line="240" w:lineRule="auto"/>
              <w:jc w:val="center"/>
            </w:pPr>
            <w:r>
              <w:rPr>
                <w:b/>
                <w:sz w:val="18"/>
              </w:rPr>
              <w:t>Indeks (%)</w:t>
            </w:r>
          </w:p>
        </w:tc>
      </w:tr>
      <w:tr w:rsidR="00AC6D4E" w14:paraId="772356EA" w14:textId="77777777">
        <w:trPr>
          <w:cantSplit/>
          <w:trHeight w:val="560"/>
        </w:trPr>
        <w:tc>
          <w:tcPr>
            <w:tcW w:w="700" w:type="dxa"/>
            <w:tcMar>
              <w:top w:w="0" w:type="dxa"/>
              <w:bottom w:w="0" w:type="dxa"/>
            </w:tcMar>
            <w:vAlign w:val="center"/>
          </w:tcPr>
          <w:p w14:paraId="740F33D0" w14:textId="77777777" w:rsidR="00AC6D4E" w:rsidRDefault="00000000">
            <w:pPr>
              <w:keepNext/>
              <w:keepLines/>
              <w:spacing w:after="0" w:line="240" w:lineRule="auto"/>
            </w:pPr>
            <w:r>
              <w:rPr>
                <w:sz w:val="18"/>
              </w:rPr>
              <w:t>6526</w:t>
            </w:r>
          </w:p>
        </w:tc>
        <w:tc>
          <w:tcPr>
            <w:tcW w:w="3180" w:type="dxa"/>
            <w:tcMar>
              <w:top w:w="0" w:type="dxa"/>
              <w:bottom w:w="0" w:type="dxa"/>
            </w:tcMar>
            <w:vAlign w:val="center"/>
          </w:tcPr>
          <w:p w14:paraId="0643965F" w14:textId="77777777" w:rsidR="00AC6D4E" w:rsidRDefault="00000000">
            <w:pPr>
              <w:keepNext/>
              <w:keepLines/>
              <w:spacing w:after="0" w:line="240" w:lineRule="auto"/>
            </w:pPr>
            <w:r>
              <w:rPr>
                <w:sz w:val="18"/>
              </w:rPr>
              <w:t>Ostali nespomenuti prihodi</w:t>
            </w:r>
          </w:p>
        </w:tc>
        <w:tc>
          <w:tcPr>
            <w:tcW w:w="700" w:type="dxa"/>
            <w:tcMar>
              <w:top w:w="0" w:type="dxa"/>
              <w:bottom w:w="0" w:type="dxa"/>
            </w:tcMar>
            <w:vAlign w:val="center"/>
          </w:tcPr>
          <w:p w14:paraId="69EC6BE3" w14:textId="77777777" w:rsidR="00AC6D4E" w:rsidRDefault="00000000">
            <w:pPr>
              <w:keepNext/>
              <w:keepLines/>
              <w:spacing w:after="0" w:line="240" w:lineRule="auto"/>
            </w:pPr>
            <w:r>
              <w:rPr>
                <w:sz w:val="18"/>
              </w:rPr>
              <w:t>6526</w:t>
            </w:r>
          </w:p>
        </w:tc>
        <w:tc>
          <w:tcPr>
            <w:tcW w:w="1860" w:type="dxa"/>
            <w:tcMar>
              <w:top w:w="0" w:type="dxa"/>
              <w:bottom w:w="0" w:type="dxa"/>
            </w:tcMar>
            <w:vAlign w:val="center"/>
          </w:tcPr>
          <w:p w14:paraId="2DF3D834" w14:textId="77777777" w:rsidR="00AC6D4E" w:rsidRDefault="00000000">
            <w:pPr>
              <w:keepNext/>
              <w:keepLines/>
              <w:spacing w:after="0" w:line="240" w:lineRule="auto"/>
              <w:jc w:val="right"/>
            </w:pPr>
            <w:r>
              <w:rPr>
                <w:sz w:val="18"/>
              </w:rPr>
              <w:t>500,00</w:t>
            </w:r>
          </w:p>
        </w:tc>
        <w:tc>
          <w:tcPr>
            <w:tcW w:w="1860" w:type="dxa"/>
            <w:tcMar>
              <w:top w:w="0" w:type="dxa"/>
              <w:bottom w:w="0" w:type="dxa"/>
            </w:tcMar>
            <w:vAlign w:val="center"/>
          </w:tcPr>
          <w:p w14:paraId="7EBA1C94" w14:textId="77777777" w:rsidR="00AC6D4E" w:rsidRDefault="00000000">
            <w:pPr>
              <w:keepNext/>
              <w:keepLines/>
              <w:spacing w:after="0" w:line="240" w:lineRule="auto"/>
              <w:jc w:val="right"/>
            </w:pPr>
            <w:r>
              <w:rPr>
                <w:sz w:val="18"/>
              </w:rPr>
              <w:t>477,42</w:t>
            </w:r>
          </w:p>
        </w:tc>
        <w:tc>
          <w:tcPr>
            <w:tcW w:w="700" w:type="dxa"/>
            <w:tcMar>
              <w:top w:w="0" w:type="dxa"/>
              <w:bottom w:w="0" w:type="dxa"/>
            </w:tcMar>
            <w:vAlign w:val="center"/>
          </w:tcPr>
          <w:p w14:paraId="44E743DD" w14:textId="77777777" w:rsidR="00AC6D4E" w:rsidRDefault="00000000">
            <w:pPr>
              <w:keepNext/>
              <w:keepLines/>
              <w:spacing w:after="0" w:line="240" w:lineRule="auto"/>
              <w:jc w:val="right"/>
            </w:pPr>
            <w:r>
              <w:rPr>
                <w:sz w:val="18"/>
              </w:rPr>
              <w:t>95,5</w:t>
            </w:r>
          </w:p>
        </w:tc>
      </w:tr>
    </w:tbl>
    <w:p w14:paraId="21CA42D9" w14:textId="77777777" w:rsidR="00AC6D4E" w:rsidRDefault="00AC6D4E">
      <w:pPr>
        <w:spacing w:after="0"/>
      </w:pPr>
    </w:p>
    <w:p w14:paraId="677351C7" w14:textId="77777777" w:rsidR="00AC6D4E" w:rsidRDefault="00000000" w:rsidP="002D21C3">
      <w:pPr>
        <w:jc w:val="both"/>
      </w:pPr>
      <w:r>
        <w:t>U izvještajnom razdoblju uplaćeno je 477,42 eura participacija za trošak smještaja korisnika, što je manje nego u prethodnom razdoblju. Uplate su realizirane od strane roditelja/skrbnika koji su obveznici plaćanja participacije za smještaj korisnika (sukladno Rješenjima nadležnih podružnica HZSR-a). Iznos prihoda koji je zaprimljen na žiro račun Ustanove je u cijelosti uplaćen u Državni proračun (iznos jednak rashodu 3691 – Tekući prijenosi između proračunskih korisnika istog proračuna).</w:t>
      </w:r>
    </w:p>
    <w:p w14:paraId="4E151C0E" w14:textId="77777777" w:rsidR="00AC6D4E" w:rsidRDefault="00AC6D4E"/>
    <w:p w14:paraId="1AE219FB" w14:textId="77777777" w:rsidR="00AC6D4E"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6D4E" w14:paraId="6E1E1C4A" w14:textId="77777777">
        <w:trPr>
          <w:cantSplit/>
        </w:trPr>
        <w:tc>
          <w:tcPr>
            <w:tcW w:w="700" w:type="dxa"/>
            <w:shd w:val="clear" w:color="auto" w:fill="E7F0F9"/>
            <w:tcMar>
              <w:top w:w="0" w:type="dxa"/>
              <w:bottom w:w="0" w:type="dxa"/>
            </w:tcMar>
            <w:vAlign w:val="center"/>
          </w:tcPr>
          <w:p w14:paraId="6F0B844D" w14:textId="77777777" w:rsidR="00AC6D4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DF812D" w14:textId="77777777" w:rsidR="00AC6D4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6B50EC" w14:textId="77777777" w:rsidR="00AC6D4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0C42B4" w14:textId="77777777" w:rsidR="00AC6D4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67CC7B" w14:textId="77777777" w:rsidR="00AC6D4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1C6366" w14:textId="77777777" w:rsidR="00AC6D4E" w:rsidRDefault="00000000">
            <w:pPr>
              <w:keepNext/>
              <w:keepLines/>
              <w:spacing w:after="0" w:line="240" w:lineRule="auto"/>
              <w:jc w:val="center"/>
            </w:pPr>
            <w:r>
              <w:rPr>
                <w:b/>
                <w:sz w:val="18"/>
              </w:rPr>
              <w:t>Indeks (%)</w:t>
            </w:r>
          </w:p>
        </w:tc>
      </w:tr>
      <w:tr w:rsidR="00AC6D4E" w14:paraId="2CF1654E" w14:textId="77777777">
        <w:trPr>
          <w:cantSplit/>
          <w:trHeight w:val="560"/>
        </w:trPr>
        <w:tc>
          <w:tcPr>
            <w:tcW w:w="700" w:type="dxa"/>
            <w:tcMar>
              <w:top w:w="0" w:type="dxa"/>
              <w:bottom w:w="0" w:type="dxa"/>
            </w:tcMar>
            <w:vAlign w:val="center"/>
          </w:tcPr>
          <w:p w14:paraId="143033BA" w14:textId="77777777" w:rsidR="00AC6D4E" w:rsidRDefault="00000000">
            <w:pPr>
              <w:keepNext/>
              <w:keepLines/>
              <w:spacing w:after="0" w:line="240" w:lineRule="auto"/>
            </w:pPr>
            <w:r>
              <w:rPr>
                <w:sz w:val="18"/>
              </w:rPr>
              <w:t>6631</w:t>
            </w:r>
          </w:p>
        </w:tc>
        <w:tc>
          <w:tcPr>
            <w:tcW w:w="3180" w:type="dxa"/>
            <w:tcMar>
              <w:top w:w="0" w:type="dxa"/>
              <w:bottom w:w="0" w:type="dxa"/>
            </w:tcMar>
            <w:vAlign w:val="center"/>
          </w:tcPr>
          <w:p w14:paraId="183D2F54" w14:textId="77777777" w:rsidR="00AC6D4E" w:rsidRDefault="00000000">
            <w:pPr>
              <w:keepNext/>
              <w:keepLines/>
              <w:spacing w:after="0" w:line="240" w:lineRule="auto"/>
            </w:pPr>
            <w:r>
              <w:rPr>
                <w:sz w:val="18"/>
              </w:rPr>
              <w:t>Tekuće donacije</w:t>
            </w:r>
          </w:p>
        </w:tc>
        <w:tc>
          <w:tcPr>
            <w:tcW w:w="700" w:type="dxa"/>
            <w:tcMar>
              <w:top w:w="0" w:type="dxa"/>
              <w:bottom w:w="0" w:type="dxa"/>
            </w:tcMar>
            <w:vAlign w:val="center"/>
          </w:tcPr>
          <w:p w14:paraId="7E4D6B4D" w14:textId="77777777" w:rsidR="00AC6D4E" w:rsidRDefault="00000000">
            <w:pPr>
              <w:keepNext/>
              <w:keepLines/>
              <w:spacing w:after="0" w:line="240" w:lineRule="auto"/>
            </w:pPr>
            <w:r>
              <w:rPr>
                <w:sz w:val="18"/>
              </w:rPr>
              <w:t>6631</w:t>
            </w:r>
          </w:p>
        </w:tc>
        <w:tc>
          <w:tcPr>
            <w:tcW w:w="1860" w:type="dxa"/>
            <w:tcMar>
              <w:top w:w="0" w:type="dxa"/>
              <w:bottom w:w="0" w:type="dxa"/>
            </w:tcMar>
            <w:vAlign w:val="center"/>
          </w:tcPr>
          <w:p w14:paraId="7B1A553E" w14:textId="77777777" w:rsidR="00AC6D4E" w:rsidRDefault="00000000">
            <w:pPr>
              <w:keepNext/>
              <w:keepLines/>
              <w:spacing w:after="0" w:line="240" w:lineRule="auto"/>
              <w:jc w:val="right"/>
            </w:pPr>
            <w:r>
              <w:rPr>
                <w:sz w:val="18"/>
              </w:rPr>
              <w:t>3.986,00</w:t>
            </w:r>
          </w:p>
        </w:tc>
        <w:tc>
          <w:tcPr>
            <w:tcW w:w="1860" w:type="dxa"/>
            <w:tcMar>
              <w:top w:w="0" w:type="dxa"/>
              <w:bottom w:w="0" w:type="dxa"/>
            </w:tcMar>
            <w:vAlign w:val="center"/>
          </w:tcPr>
          <w:p w14:paraId="3C45177F" w14:textId="77777777" w:rsidR="00AC6D4E" w:rsidRDefault="00000000">
            <w:pPr>
              <w:keepNext/>
              <w:keepLines/>
              <w:spacing w:after="0" w:line="240" w:lineRule="auto"/>
              <w:jc w:val="right"/>
            </w:pPr>
            <w:r>
              <w:rPr>
                <w:sz w:val="18"/>
              </w:rPr>
              <w:t>3.610,00</w:t>
            </w:r>
          </w:p>
        </w:tc>
        <w:tc>
          <w:tcPr>
            <w:tcW w:w="700" w:type="dxa"/>
            <w:tcMar>
              <w:top w:w="0" w:type="dxa"/>
              <w:bottom w:w="0" w:type="dxa"/>
            </w:tcMar>
            <w:vAlign w:val="center"/>
          </w:tcPr>
          <w:p w14:paraId="41A3333C" w14:textId="77777777" w:rsidR="00AC6D4E" w:rsidRDefault="00000000">
            <w:pPr>
              <w:keepNext/>
              <w:keepLines/>
              <w:spacing w:after="0" w:line="240" w:lineRule="auto"/>
              <w:jc w:val="right"/>
            </w:pPr>
            <w:r>
              <w:rPr>
                <w:sz w:val="18"/>
              </w:rPr>
              <w:t>90,6</w:t>
            </w:r>
          </w:p>
        </w:tc>
      </w:tr>
    </w:tbl>
    <w:p w14:paraId="43C83960" w14:textId="77777777" w:rsidR="00AC6D4E" w:rsidRDefault="00AC6D4E">
      <w:pPr>
        <w:spacing w:after="0"/>
      </w:pPr>
    </w:p>
    <w:p w14:paraId="734E021F" w14:textId="77777777" w:rsidR="00AC6D4E" w:rsidRDefault="00000000" w:rsidP="002D21C3">
      <w:pPr>
        <w:jc w:val="both"/>
      </w:pPr>
      <w:r>
        <w:lastRenderedPageBreak/>
        <w:t>U izvještajnom razdoblju zaprimljeno je 3.610,00 eura namjenskih i nenamjenskih donacija pravnih i fizičkih osoba uplaćenih na žiro račun ustanove, što je 9,40% manje nego u usporednom razdoblju prošle godine.</w:t>
      </w:r>
    </w:p>
    <w:p w14:paraId="12B44ED5" w14:textId="77777777" w:rsidR="00AC6D4E" w:rsidRDefault="00AC6D4E"/>
    <w:p w14:paraId="2A4106B0" w14:textId="77777777" w:rsidR="00AC6D4E"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6D4E" w14:paraId="2C84FC38" w14:textId="77777777">
        <w:trPr>
          <w:cantSplit/>
        </w:trPr>
        <w:tc>
          <w:tcPr>
            <w:tcW w:w="700" w:type="dxa"/>
            <w:shd w:val="clear" w:color="auto" w:fill="E7F0F9"/>
            <w:tcMar>
              <w:top w:w="0" w:type="dxa"/>
              <w:bottom w:w="0" w:type="dxa"/>
            </w:tcMar>
            <w:vAlign w:val="center"/>
          </w:tcPr>
          <w:p w14:paraId="1BAA6874" w14:textId="77777777" w:rsidR="00AC6D4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75EDCC" w14:textId="77777777" w:rsidR="00AC6D4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30AC24" w14:textId="77777777" w:rsidR="00AC6D4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488C75" w14:textId="77777777" w:rsidR="00AC6D4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416B3B" w14:textId="77777777" w:rsidR="00AC6D4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BB5A54" w14:textId="77777777" w:rsidR="00AC6D4E" w:rsidRDefault="00000000">
            <w:pPr>
              <w:keepNext/>
              <w:keepLines/>
              <w:spacing w:after="0" w:line="240" w:lineRule="auto"/>
              <w:jc w:val="center"/>
            </w:pPr>
            <w:r>
              <w:rPr>
                <w:b/>
                <w:sz w:val="18"/>
              </w:rPr>
              <w:t>Indeks (%)</w:t>
            </w:r>
          </w:p>
        </w:tc>
      </w:tr>
      <w:tr w:rsidR="00AC6D4E" w14:paraId="18CB4204" w14:textId="77777777">
        <w:trPr>
          <w:cantSplit/>
          <w:trHeight w:val="560"/>
        </w:trPr>
        <w:tc>
          <w:tcPr>
            <w:tcW w:w="700" w:type="dxa"/>
            <w:tcMar>
              <w:top w:w="0" w:type="dxa"/>
              <w:bottom w:w="0" w:type="dxa"/>
            </w:tcMar>
            <w:vAlign w:val="center"/>
          </w:tcPr>
          <w:p w14:paraId="04CCB090" w14:textId="77777777" w:rsidR="00AC6D4E" w:rsidRDefault="00000000">
            <w:pPr>
              <w:keepNext/>
              <w:keepLines/>
              <w:spacing w:after="0" w:line="240" w:lineRule="auto"/>
            </w:pPr>
            <w:r>
              <w:rPr>
                <w:sz w:val="18"/>
              </w:rPr>
              <w:t>6711</w:t>
            </w:r>
          </w:p>
        </w:tc>
        <w:tc>
          <w:tcPr>
            <w:tcW w:w="3180" w:type="dxa"/>
            <w:tcMar>
              <w:top w:w="0" w:type="dxa"/>
              <w:bottom w:w="0" w:type="dxa"/>
            </w:tcMar>
            <w:vAlign w:val="center"/>
          </w:tcPr>
          <w:p w14:paraId="3B9E2AFA" w14:textId="77777777" w:rsidR="00AC6D4E"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3DE3882B" w14:textId="77777777" w:rsidR="00AC6D4E" w:rsidRDefault="00000000">
            <w:pPr>
              <w:keepNext/>
              <w:keepLines/>
              <w:spacing w:after="0" w:line="240" w:lineRule="auto"/>
            </w:pPr>
            <w:r>
              <w:rPr>
                <w:sz w:val="18"/>
              </w:rPr>
              <w:t>6711</w:t>
            </w:r>
          </w:p>
        </w:tc>
        <w:tc>
          <w:tcPr>
            <w:tcW w:w="1860" w:type="dxa"/>
            <w:tcMar>
              <w:top w:w="0" w:type="dxa"/>
              <w:bottom w:w="0" w:type="dxa"/>
            </w:tcMar>
            <w:vAlign w:val="center"/>
          </w:tcPr>
          <w:p w14:paraId="5CEBC12C" w14:textId="77777777" w:rsidR="00AC6D4E" w:rsidRDefault="00000000">
            <w:pPr>
              <w:keepNext/>
              <w:keepLines/>
              <w:spacing w:after="0" w:line="240" w:lineRule="auto"/>
              <w:jc w:val="right"/>
            </w:pPr>
            <w:r>
              <w:rPr>
                <w:sz w:val="18"/>
              </w:rPr>
              <w:t>173.436,29</w:t>
            </w:r>
          </w:p>
        </w:tc>
        <w:tc>
          <w:tcPr>
            <w:tcW w:w="1860" w:type="dxa"/>
            <w:tcMar>
              <w:top w:w="0" w:type="dxa"/>
              <w:bottom w:w="0" w:type="dxa"/>
            </w:tcMar>
            <w:vAlign w:val="center"/>
          </w:tcPr>
          <w:p w14:paraId="5B5E8FDF" w14:textId="77777777" w:rsidR="00AC6D4E" w:rsidRDefault="00000000">
            <w:pPr>
              <w:keepNext/>
              <w:keepLines/>
              <w:spacing w:after="0" w:line="240" w:lineRule="auto"/>
              <w:jc w:val="right"/>
            </w:pPr>
            <w:r>
              <w:rPr>
                <w:sz w:val="18"/>
              </w:rPr>
              <w:t>248.436,80</w:t>
            </w:r>
          </w:p>
        </w:tc>
        <w:tc>
          <w:tcPr>
            <w:tcW w:w="700" w:type="dxa"/>
            <w:tcMar>
              <w:top w:w="0" w:type="dxa"/>
              <w:bottom w:w="0" w:type="dxa"/>
            </w:tcMar>
            <w:vAlign w:val="center"/>
          </w:tcPr>
          <w:p w14:paraId="55C24483" w14:textId="77777777" w:rsidR="00AC6D4E" w:rsidRDefault="00000000">
            <w:pPr>
              <w:keepNext/>
              <w:keepLines/>
              <w:spacing w:after="0" w:line="240" w:lineRule="auto"/>
              <w:jc w:val="right"/>
            </w:pPr>
            <w:r>
              <w:rPr>
                <w:sz w:val="18"/>
              </w:rPr>
              <w:t>143,2</w:t>
            </w:r>
          </w:p>
        </w:tc>
      </w:tr>
    </w:tbl>
    <w:p w14:paraId="48B0408F" w14:textId="77777777" w:rsidR="00AC6D4E" w:rsidRDefault="00AC6D4E">
      <w:pPr>
        <w:spacing w:after="0"/>
      </w:pPr>
    </w:p>
    <w:p w14:paraId="2CA99521" w14:textId="77777777" w:rsidR="00AC6D4E" w:rsidRDefault="00000000" w:rsidP="002D21C3">
      <w:pPr>
        <w:jc w:val="both"/>
      </w:pPr>
      <w:r>
        <w:t>U izvještajnom razdoblju utrošeno je 248.436,80 eura prihoda iz proračuna za financiranje rashoda poslovanja. Povećanje u odnosu na prošlogodišnje razdoblje je rezultat većih rashoda poslovanja tijekom prvog tromjesečja u 2026. godini.</w:t>
      </w:r>
    </w:p>
    <w:p w14:paraId="00CACB0A" w14:textId="77777777" w:rsidR="00AC6D4E" w:rsidRDefault="00AC6D4E"/>
    <w:p w14:paraId="7EDBED03" w14:textId="77777777" w:rsidR="00AC6D4E"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6D4E" w14:paraId="490BFE86" w14:textId="77777777">
        <w:trPr>
          <w:cantSplit/>
        </w:trPr>
        <w:tc>
          <w:tcPr>
            <w:tcW w:w="700" w:type="dxa"/>
            <w:shd w:val="clear" w:color="auto" w:fill="E7F0F9"/>
            <w:tcMar>
              <w:top w:w="0" w:type="dxa"/>
              <w:bottom w:w="0" w:type="dxa"/>
            </w:tcMar>
            <w:vAlign w:val="center"/>
          </w:tcPr>
          <w:p w14:paraId="562076A3" w14:textId="77777777" w:rsidR="00AC6D4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743BD5" w14:textId="77777777" w:rsidR="00AC6D4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283472" w14:textId="77777777" w:rsidR="00AC6D4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70B9A1" w14:textId="77777777" w:rsidR="00AC6D4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8E2284" w14:textId="77777777" w:rsidR="00AC6D4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CEF14E" w14:textId="77777777" w:rsidR="00AC6D4E" w:rsidRDefault="00000000">
            <w:pPr>
              <w:keepNext/>
              <w:keepLines/>
              <w:spacing w:after="0" w:line="240" w:lineRule="auto"/>
              <w:jc w:val="center"/>
            </w:pPr>
            <w:r>
              <w:rPr>
                <w:b/>
                <w:sz w:val="18"/>
              </w:rPr>
              <w:t>Indeks (%)</w:t>
            </w:r>
          </w:p>
        </w:tc>
      </w:tr>
      <w:tr w:rsidR="00AC6D4E" w14:paraId="676FBB65" w14:textId="77777777">
        <w:trPr>
          <w:cantSplit/>
          <w:trHeight w:val="560"/>
        </w:trPr>
        <w:tc>
          <w:tcPr>
            <w:tcW w:w="700" w:type="dxa"/>
            <w:tcMar>
              <w:top w:w="0" w:type="dxa"/>
              <w:bottom w:w="0" w:type="dxa"/>
            </w:tcMar>
            <w:vAlign w:val="center"/>
          </w:tcPr>
          <w:p w14:paraId="6C303591" w14:textId="77777777" w:rsidR="00AC6D4E" w:rsidRDefault="00000000">
            <w:pPr>
              <w:keepNext/>
              <w:keepLines/>
              <w:spacing w:after="0" w:line="240" w:lineRule="auto"/>
            </w:pPr>
            <w:r>
              <w:rPr>
                <w:sz w:val="18"/>
              </w:rPr>
              <w:t>31</w:t>
            </w:r>
          </w:p>
        </w:tc>
        <w:tc>
          <w:tcPr>
            <w:tcW w:w="3180" w:type="dxa"/>
            <w:tcMar>
              <w:top w:w="0" w:type="dxa"/>
              <w:bottom w:w="0" w:type="dxa"/>
            </w:tcMar>
            <w:vAlign w:val="center"/>
          </w:tcPr>
          <w:p w14:paraId="1083E22E" w14:textId="77777777" w:rsidR="00AC6D4E"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2E88C4C5" w14:textId="77777777" w:rsidR="00AC6D4E" w:rsidRDefault="00000000">
            <w:pPr>
              <w:keepNext/>
              <w:keepLines/>
              <w:spacing w:after="0" w:line="240" w:lineRule="auto"/>
            </w:pPr>
            <w:r>
              <w:rPr>
                <w:sz w:val="18"/>
              </w:rPr>
              <w:t>31</w:t>
            </w:r>
          </w:p>
        </w:tc>
        <w:tc>
          <w:tcPr>
            <w:tcW w:w="1860" w:type="dxa"/>
            <w:tcMar>
              <w:top w:w="0" w:type="dxa"/>
              <w:bottom w:w="0" w:type="dxa"/>
            </w:tcMar>
            <w:vAlign w:val="center"/>
          </w:tcPr>
          <w:p w14:paraId="4FF18D09" w14:textId="77777777" w:rsidR="00AC6D4E" w:rsidRDefault="00000000">
            <w:pPr>
              <w:keepNext/>
              <w:keepLines/>
              <w:spacing w:after="0" w:line="240" w:lineRule="auto"/>
              <w:jc w:val="right"/>
            </w:pPr>
            <w:r>
              <w:rPr>
                <w:sz w:val="18"/>
              </w:rPr>
              <w:t>226.671,96</w:t>
            </w:r>
          </w:p>
        </w:tc>
        <w:tc>
          <w:tcPr>
            <w:tcW w:w="1860" w:type="dxa"/>
            <w:tcMar>
              <w:top w:w="0" w:type="dxa"/>
              <w:bottom w:w="0" w:type="dxa"/>
            </w:tcMar>
            <w:vAlign w:val="center"/>
          </w:tcPr>
          <w:p w14:paraId="00BC7973" w14:textId="77777777" w:rsidR="00AC6D4E" w:rsidRDefault="00000000">
            <w:pPr>
              <w:keepNext/>
              <w:keepLines/>
              <w:spacing w:after="0" w:line="240" w:lineRule="auto"/>
              <w:jc w:val="right"/>
            </w:pPr>
            <w:r>
              <w:rPr>
                <w:sz w:val="18"/>
              </w:rPr>
              <w:t>210.093,09</w:t>
            </w:r>
          </w:p>
        </w:tc>
        <w:tc>
          <w:tcPr>
            <w:tcW w:w="700" w:type="dxa"/>
            <w:tcMar>
              <w:top w:w="0" w:type="dxa"/>
              <w:bottom w:w="0" w:type="dxa"/>
            </w:tcMar>
            <w:vAlign w:val="center"/>
          </w:tcPr>
          <w:p w14:paraId="598BE8D3" w14:textId="77777777" w:rsidR="00AC6D4E" w:rsidRDefault="00000000">
            <w:pPr>
              <w:keepNext/>
              <w:keepLines/>
              <w:spacing w:after="0" w:line="240" w:lineRule="auto"/>
              <w:jc w:val="right"/>
            </w:pPr>
            <w:r>
              <w:rPr>
                <w:sz w:val="18"/>
              </w:rPr>
              <w:t>92,7</w:t>
            </w:r>
          </w:p>
        </w:tc>
      </w:tr>
    </w:tbl>
    <w:p w14:paraId="447507B4" w14:textId="77777777" w:rsidR="00AC6D4E" w:rsidRDefault="00AC6D4E">
      <w:pPr>
        <w:spacing w:after="0"/>
      </w:pPr>
    </w:p>
    <w:p w14:paraId="58B56173" w14:textId="77777777" w:rsidR="00AC6D4E" w:rsidRDefault="00000000" w:rsidP="002D21C3">
      <w:pPr>
        <w:jc w:val="both"/>
      </w:pPr>
      <w:r>
        <w:t>Ukupni rashodi za zaposlene u tekućem razdoblju iznose 210.093,09 eura, te su manji za 7,30% u odnosu na usporedno izvještajno razdoblje prošle godine. Navedeno smanjenje je rezultat računovodstvene metodologije jer su u razdoblju prošle godine iskazani rashodi za zaposlene za razdoblje od 12/2024 do 03/2025, a u tekućem razdoblju od 01/2026 do 03/2026. Na dan 31.03.2026. godine u Centru za pružanje usluga u zajednici Vrbina Sisak je zaposleno 28 djelatnika, 26 djelatnika na neodređeno vrijeme i 2 djelatnika na određeno vrijeme (ravnatelj-mandat i jedna djelatnica kao zamjena za porodiljni dopust).</w:t>
      </w:r>
    </w:p>
    <w:p w14:paraId="4168698B" w14:textId="77777777" w:rsidR="00AC6D4E" w:rsidRDefault="00AC6D4E"/>
    <w:p w14:paraId="5DA5E17F" w14:textId="77777777" w:rsidR="00AC6D4E"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6D4E" w14:paraId="1054B7EE" w14:textId="77777777">
        <w:trPr>
          <w:cantSplit/>
        </w:trPr>
        <w:tc>
          <w:tcPr>
            <w:tcW w:w="700" w:type="dxa"/>
            <w:shd w:val="clear" w:color="auto" w:fill="E7F0F9"/>
            <w:tcMar>
              <w:top w:w="0" w:type="dxa"/>
              <w:bottom w:w="0" w:type="dxa"/>
            </w:tcMar>
            <w:vAlign w:val="center"/>
          </w:tcPr>
          <w:p w14:paraId="3FC8A379" w14:textId="77777777" w:rsidR="00AC6D4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3426BC" w14:textId="77777777" w:rsidR="00AC6D4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BEC29A" w14:textId="77777777" w:rsidR="00AC6D4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3C72A6" w14:textId="77777777" w:rsidR="00AC6D4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0728F0" w14:textId="77777777" w:rsidR="00AC6D4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BA68D6" w14:textId="77777777" w:rsidR="00AC6D4E" w:rsidRDefault="00000000">
            <w:pPr>
              <w:keepNext/>
              <w:keepLines/>
              <w:spacing w:after="0" w:line="240" w:lineRule="auto"/>
              <w:jc w:val="center"/>
            </w:pPr>
            <w:r>
              <w:rPr>
                <w:b/>
                <w:sz w:val="18"/>
              </w:rPr>
              <w:t>Indeks (%)</w:t>
            </w:r>
          </w:p>
        </w:tc>
      </w:tr>
      <w:tr w:rsidR="00AC6D4E" w14:paraId="7D5B113D" w14:textId="77777777">
        <w:trPr>
          <w:cantSplit/>
          <w:trHeight w:val="560"/>
        </w:trPr>
        <w:tc>
          <w:tcPr>
            <w:tcW w:w="700" w:type="dxa"/>
            <w:tcMar>
              <w:top w:w="0" w:type="dxa"/>
              <w:bottom w:w="0" w:type="dxa"/>
            </w:tcMar>
            <w:vAlign w:val="center"/>
          </w:tcPr>
          <w:p w14:paraId="1D20E54D" w14:textId="77777777" w:rsidR="00AC6D4E" w:rsidRDefault="00000000">
            <w:pPr>
              <w:keepNext/>
              <w:keepLines/>
              <w:spacing w:after="0" w:line="240" w:lineRule="auto"/>
            </w:pPr>
            <w:r>
              <w:rPr>
                <w:sz w:val="18"/>
              </w:rPr>
              <w:t>3113</w:t>
            </w:r>
          </w:p>
        </w:tc>
        <w:tc>
          <w:tcPr>
            <w:tcW w:w="3180" w:type="dxa"/>
            <w:tcMar>
              <w:top w:w="0" w:type="dxa"/>
              <w:bottom w:w="0" w:type="dxa"/>
            </w:tcMar>
            <w:vAlign w:val="center"/>
          </w:tcPr>
          <w:p w14:paraId="12098B86" w14:textId="77777777" w:rsidR="00AC6D4E" w:rsidRDefault="00000000">
            <w:pPr>
              <w:keepNext/>
              <w:keepLines/>
              <w:spacing w:after="0" w:line="240" w:lineRule="auto"/>
            </w:pPr>
            <w:r>
              <w:rPr>
                <w:sz w:val="18"/>
              </w:rPr>
              <w:t>Plaće za prekovremeni rad</w:t>
            </w:r>
          </w:p>
        </w:tc>
        <w:tc>
          <w:tcPr>
            <w:tcW w:w="700" w:type="dxa"/>
            <w:tcMar>
              <w:top w:w="0" w:type="dxa"/>
              <w:bottom w:w="0" w:type="dxa"/>
            </w:tcMar>
            <w:vAlign w:val="center"/>
          </w:tcPr>
          <w:p w14:paraId="133A5146" w14:textId="77777777" w:rsidR="00AC6D4E" w:rsidRDefault="00000000">
            <w:pPr>
              <w:keepNext/>
              <w:keepLines/>
              <w:spacing w:after="0" w:line="240" w:lineRule="auto"/>
            </w:pPr>
            <w:r>
              <w:rPr>
                <w:sz w:val="18"/>
              </w:rPr>
              <w:t>3113</w:t>
            </w:r>
          </w:p>
        </w:tc>
        <w:tc>
          <w:tcPr>
            <w:tcW w:w="1860" w:type="dxa"/>
            <w:tcMar>
              <w:top w:w="0" w:type="dxa"/>
              <w:bottom w:w="0" w:type="dxa"/>
            </w:tcMar>
            <w:vAlign w:val="center"/>
          </w:tcPr>
          <w:p w14:paraId="3F4CA9BF" w14:textId="77777777" w:rsidR="00AC6D4E" w:rsidRDefault="00000000">
            <w:pPr>
              <w:keepNext/>
              <w:keepLines/>
              <w:spacing w:after="0" w:line="240" w:lineRule="auto"/>
              <w:jc w:val="right"/>
            </w:pPr>
            <w:r>
              <w:rPr>
                <w:sz w:val="18"/>
              </w:rPr>
              <w:t>0,00</w:t>
            </w:r>
          </w:p>
        </w:tc>
        <w:tc>
          <w:tcPr>
            <w:tcW w:w="1860" w:type="dxa"/>
            <w:tcMar>
              <w:top w:w="0" w:type="dxa"/>
              <w:bottom w:w="0" w:type="dxa"/>
            </w:tcMar>
            <w:vAlign w:val="center"/>
          </w:tcPr>
          <w:p w14:paraId="7B18CA84" w14:textId="77777777" w:rsidR="00AC6D4E" w:rsidRDefault="00000000">
            <w:pPr>
              <w:keepNext/>
              <w:keepLines/>
              <w:spacing w:after="0" w:line="240" w:lineRule="auto"/>
              <w:jc w:val="right"/>
            </w:pPr>
            <w:r>
              <w:rPr>
                <w:sz w:val="18"/>
              </w:rPr>
              <w:t>368,38</w:t>
            </w:r>
          </w:p>
        </w:tc>
        <w:tc>
          <w:tcPr>
            <w:tcW w:w="700" w:type="dxa"/>
            <w:tcMar>
              <w:top w:w="0" w:type="dxa"/>
              <w:bottom w:w="0" w:type="dxa"/>
            </w:tcMar>
            <w:vAlign w:val="center"/>
          </w:tcPr>
          <w:p w14:paraId="011E2AC2" w14:textId="77777777" w:rsidR="00AC6D4E" w:rsidRDefault="00000000">
            <w:pPr>
              <w:keepNext/>
              <w:keepLines/>
              <w:spacing w:after="0" w:line="240" w:lineRule="auto"/>
              <w:jc w:val="right"/>
            </w:pPr>
            <w:r>
              <w:rPr>
                <w:sz w:val="18"/>
              </w:rPr>
              <w:t>-</w:t>
            </w:r>
          </w:p>
        </w:tc>
      </w:tr>
    </w:tbl>
    <w:p w14:paraId="29B15D47" w14:textId="77777777" w:rsidR="00AC6D4E" w:rsidRDefault="00AC6D4E" w:rsidP="002D21C3">
      <w:pPr>
        <w:spacing w:after="0"/>
        <w:jc w:val="both"/>
      </w:pPr>
    </w:p>
    <w:p w14:paraId="14544570" w14:textId="77777777" w:rsidR="00AC6D4E" w:rsidRDefault="00000000" w:rsidP="002D21C3">
      <w:pPr>
        <w:jc w:val="both"/>
      </w:pPr>
      <w:r>
        <w:t>U tekućem izvještajnom razdoblju je evidentiran prekovremeni rad djelatnika u iznosu od 368,38 eura, budući da je bio nužan sukladno izvanrednim okolnostima u Ustanovi.</w:t>
      </w:r>
    </w:p>
    <w:p w14:paraId="7FF88897" w14:textId="77777777" w:rsidR="00AC6D4E" w:rsidRDefault="00AC6D4E"/>
    <w:p w14:paraId="7C9CFDD1" w14:textId="77777777" w:rsidR="00AC6D4E" w:rsidRDefault="00000000">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6D4E" w14:paraId="3F693D3B" w14:textId="77777777">
        <w:trPr>
          <w:cantSplit/>
        </w:trPr>
        <w:tc>
          <w:tcPr>
            <w:tcW w:w="700" w:type="dxa"/>
            <w:shd w:val="clear" w:color="auto" w:fill="E7F0F9"/>
            <w:tcMar>
              <w:top w:w="0" w:type="dxa"/>
              <w:bottom w:w="0" w:type="dxa"/>
            </w:tcMar>
            <w:vAlign w:val="center"/>
          </w:tcPr>
          <w:p w14:paraId="2DC22999" w14:textId="77777777" w:rsidR="00AC6D4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C29100" w14:textId="77777777" w:rsidR="00AC6D4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416C3E" w14:textId="77777777" w:rsidR="00AC6D4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E245B1" w14:textId="77777777" w:rsidR="00AC6D4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984F80" w14:textId="77777777" w:rsidR="00AC6D4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2E9DD1" w14:textId="77777777" w:rsidR="00AC6D4E" w:rsidRDefault="00000000">
            <w:pPr>
              <w:keepNext/>
              <w:keepLines/>
              <w:spacing w:after="0" w:line="240" w:lineRule="auto"/>
              <w:jc w:val="center"/>
            </w:pPr>
            <w:r>
              <w:rPr>
                <w:b/>
                <w:sz w:val="18"/>
              </w:rPr>
              <w:t>Indeks (%)</w:t>
            </w:r>
          </w:p>
        </w:tc>
      </w:tr>
      <w:tr w:rsidR="00AC6D4E" w14:paraId="6CC55D55" w14:textId="77777777">
        <w:trPr>
          <w:cantSplit/>
          <w:trHeight w:val="560"/>
        </w:trPr>
        <w:tc>
          <w:tcPr>
            <w:tcW w:w="700" w:type="dxa"/>
            <w:tcMar>
              <w:top w:w="0" w:type="dxa"/>
              <w:bottom w:w="0" w:type="dxa"/>
            </w:tcMar>
            <w:vAlign w:val="center"/>
          </w:tcPr>
          <w:p w14:paraId="435EE643" w14:textId="77777777" w:rsidR="00AC6D4E" w:rsidRDefault="00000000">
            <w:pPr>
              <w:keepNext/>
              <w:keepLines/>
              <w:spacing w:after="0" w:line="240" w:lineRule="auto"/>
            </w:pPr>
            <w:r>
              <w:rPr>
                <w:sz w:val="18"/>
              </w:rPr>
              <w:t>3211</w:t>
            </w:r>
          </w:p>
        </w:tc>
        <w:tc>
          <w:tcPr>
            <w:tcW w:w="3180" w:type="dxa"/>
            <w:tcMar>
              <w:top w:w="0" w:type="dxa"/>
              <w:bottom w:w="0" w:type="dxa"/>
            </w:tcMar>
            <w:vAlign w:val="center"/>
          </w:tcPr>
          <w:p w14:paraId="2AB46C69" w14:textId="77777777" w:rsidR="00AC6D4E" w:rsidRDefault="00000000">
            <w:pPr>
              <w:keepNext/>
              <w:keepLines/>
              <w:spacing w:after="0" w:line="240" w:lineRule="auto"/>
            </w:pPr>
            <w:r>
              <w:rPr>
                <w:sz w:val="18"/>
              </w:rPr>
              <w:t>Službena putovanja</w:t>
            </w:r>
          </w:p>
        </w:tc>
        <w:tc>
          <w:tcPr>
            <w:tcW w:w="700" w:type="dxa"/>
            <w:tcMar>
              <w:top w:w="0" w:type="dxa"/>
              <w:bottom w:w="0" w:type="dxa"/>
            </w:tcMar>
            <w:vAlign w:val="center"/>
          </w:tcPr>
          <w:p w14:paraId="66AFCA57" w14:textId="77777777" w:rsidR="00AC6D4E" w:rsidRDefault="00000000">
            <w:pPr>
              <w:keepNext/>
              <w:keepLines/>
              <w:spacing w:after="0" w:line="240" w:lineRule="auto"/>
            </w:pPr>
            <w:r>
              <w:rPr>
                <w:sz w:val="18"/>
              </w:rPr>
              <w:t>3211</w:t>
            </w:r>
          </w:p>
        </w:tc>
        <w:tc>
          <w:tcPr>
            <w:tcW w:w="1860" w:type="dxa"/>
            <w:tcMar>
              <w:top w:w="0" w:type="dxa"/>
              <w:bottom w:w="0" w:type="dxa"/>
            </w:tcMar>
            <w:vAlign w:val="center"/>
          </w:tcPr>
          <w:p w14:paraId="00F24F6A" w14:textId="77777777" w:rsidR="00AC6D4E" w:rsidRDefault="00000000">
            <w:pPr>
              <w:keepNext/>
              <w:keepLines/>
              <w:spacing w:after="0" w:line="240" w:lineRule="auto"/>
              <w:jc w:val="right"/>
            </w:pPr>
            <w:r>
              <w:rPr>
                <w:sz w:val="18"/>
              </w:rPr>
              <w:t>465,29</w:t>
            </w:r>
          </w:p>
        </w:tc>
        <w:tc>
          <w:tcPr>
            <w:tcW w:w="1860" w:type="dxa"/>
            <w:tcMar>
              <w:top w:w="0" w:type="dxa"/>
              <w:bottom w:w="0" w:type="dxa"/>
            </w:tcMar>
            <w:vAlign w:val="center"/>
          </w:tcPr>
          <w:p w14:paraId="6ADD46E2" w14:textId="77777777" w:rsidR="00AC6D4E" w:rsidRDefault="00000000">
            <w:pPr>
              <w:keepNext/>
              <w:keepLines/>
              <w:spacing w:after="0" w:line="240" w:lineRule="auto"/>
              <w:jc w:val="right"/>
            </w:pPr>
            <w:r>
              <w:rPr>
                <w:sz w:val="18"/>
              </w:rPr>
              <w:t>526,57</w:t>
            </w:r>
          </w:p>
        </w:tc>
        <w:tc>
          <w:tcPr>
            <w:tcW w:w="700" w:type="dxa"/>
            <w:tcMar>
              <w:top w:w="0" w:type="dxa"/>
              <w:bottom w:w="0" w:type="dxa"/>
            </w:tcMar>
            <w:vAlign w:val="center"/>
          </w:tcPr>
          <w:p w14:paraId="45F540D7" w14:textId="77777777" w:rsidR="00AC6D4E" w:rsidRDefault="00000000">
            <w:pPr>
              <w:keepNext/>
              <w:keepLines/>
              <w:spacing w:after="0" w:line="240" w:lineRule="auto"/>
              <w:jc w:val="right"/>
            </w:pPr>
            <w:r>
              <w:rPr>
                <w:sz w:val="18"/>
              </w:rPr>
              <w:t>113,2</w:t>
            </w:r>
          </w:p>
        </w:tc>
      </w:tr>
    </w:tbl>
    <w:p w14:paraId="6A9A6EED" w14:textId="77777777" w:rsidR="00AC6D4E" w:rsidRDefault="00AC6D4E">
      <w:pPr>
        <w:spacing w:after="0"/>
      </w:pPr>
    </w:p>
    <w:p w14:paraId="419E6D6A" w14:textId="77777777" w:rsidR="00AC6D4E" w:rsidRDefault="00000000" w:rsidP="002D21C3">
      <w:pPr>
        <w:jc w:val="both"/>
      </w:pPr>
      <w:r>
        <w:t>Rashodi za službena putovanja obuhvaćaju dnevnice i ostale troškove na službenim putovanjima (prijevoz, parking, cestarina). Povećanje od 13,20% je rezultat realiziranih službenih putovanja sukladno potrebi Ustanove (pratnja korisnika, organizirani izleti, odlasci na edukacije).</w:t>
      </w:r>
    </w:p>
    <w:p w14:paraId="75D843E3" w14:textId="77777777" w:rsidR="00AC6D4E" w:rsidRDefault="00AC6D4E"/>
    <w:p w14:paraId="04B14724" w14:textId="77777777" w:rsidR="00AC6D4E"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6D4E" w14:paraId="3120F671" w14:textId="77777777">
        <w:trPr>
          <w:cantSplit/>
        </w:trPr>
        <w:tc>
          <w:tcPr>
            <w:tcW w:w="700" w:type="dxa"/>
            <w:shd w:val="clear" w:color="auto" w:fill="E7F0F9"/>
            <w:tcMar>
              <w:top w:w="0" w:type="dxa"/>
              <w:bottom w:w="0" w:type="dxa"/>
            </w:tcMar>
            <w:vAlign w:val="center"/>
          </w:tcPr>
          <w:p w14:paraId="2002E44E" w14:textId="77777777" w:rsidR="00AC6D4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FD4EF7" w14:textId="77777777" w:rsidR="00AC6D4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CB3045" w14:textId="77777777" w:rsidR="00AC6D4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07BF68" w14:textId="77777777" w:rsidR="00AC6D4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46A178" w14:textId="77777777" w:rsidR="00AC6D4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AD4446" w14:textId="77777777" w:rsidR="00AC6D4E" w:rsidRDefault="00000000">
            <w:pPr>
              <w:keepNext/>
              <w:keepLines/>
              <w:spacing w:after="0" w:line="240" w:lineRule="auto"/>
              <w:jc w:val="center"/>
            </w:pPr>
            <w:r>
              <w:rPr>
                <w:b/>
                <w:sz w:val="18"/>
              </w:rPr>
              <w:t>Indeks (%)</w:t>
            </w:r>
          </w:p>
        </w:tc>
      </w:tr>
      <w:tr w:rsidR="00AC6D4E" w14:paraId="409A9C72" w14:textId="77777777">
        <w:trPr>
          <w:cantSplit/>
          <w:trHeight w:val="560"/>
        </w:trPr>
        <w:tc>
          <w:tcPr>
            <w:tcW w:w="700" w:type="dxa"/>
            <w:tcMar>
              <w:top w:w="0" w:type="dxa"/>
              <w:bottom w:w="0" w:type="dxa"/>
            </w:tcMar>
            <w:vAlign w:val="center"/>
          </w:tcPr>
          <w:p w14:paraId="589B0BB1" w14:textId="77777777" w:rsidR="00AC6D4E" w:rsidRDefault="00000000">
            <w:pPr>
              <w:keepNext/>
              <w:keepLines/>
              <w:spacing w:after="0" w:line="240" w:lineRule="auto"/>
            </w:pPr>
            <w:r>
              <w:rPr>
                <w:sz w:val="18"/>
              </w:rPr>
              <w:t>3212</w:t>
            </w:r>
          </w:p>
        </w:tc>
        <w:tc>
          <w:tcPr>
            <w:tcW w:w="3180" w:type="dxa"/>
            <w:tcMar>
              <w:top w:w="0" w:type="dxa"/>
              <w:bottom w:w="0" w:type="dxa"/>
            </w:tcMar>
            <w:vAlign w:val="center"/>
          </w:tcPr>
          <w:p w14:paraId="4F1C5972" w14:textId="77777777" w:rsidR="00AC6D4E"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0DA04395" w14:textId="77777777" w:rsidR="00AC6D4E" w:rsidRDefault="00000000">
            <w:pPr>
              <w:keepNext/>
              <w:keepLines/>
              <w:spacing w:after="0" w:line="240" w:lineRule="auto"/>
            </w:pPr>
            <w:r>
              <w:rPr>
                <w:sz w:val="18"/>
              </w:rPr>
              <w:t>3212</w:t>
            </w:r>
          </w:p>
        </w:tc>
        <w:tc>
          <w:tcPr>
            <w:tcW w:w="1860" w:type="dxa"/>
            <w:tcMar>
              <w:top w:w="0" w:type="dxa"/>
              <w:bottom w:w="0" w:type="dxa"/>
            </w:tcMar>
            <w:vAlign w:val="center"/>
          </w:tcPr>
          <w:p w14:paraId="584D6473" w14:textId="77777777" w:rsidR="00AC6D4E" w:rsidRDefault="00000000">
            <w:pPr>
              <w:keepNext/>
              <w:keepLines/>
              <w:spacing w:after="0" w:line="240" w:lineRule="auto"/>
              <w:jc w:val="right"/>
            </w:pPr>
            <w:r>
              <w:rPr>
                <w:sz w:val="18"/>
              </w:rPr>
              <w:t>6.164,18</w:t>
            </w:r>
          </w:p>
        </w:tc>
        <w:tc>
          <w:tcPr>
            <w:tcW w:w="1860" w:type="dxa"/>
            <w:tcMar>
              <w:top w:w="0" w:type="dxa"/>
              <w:bottom w:w="0" w:type="dxa"/>
            </w:tcMar>
            <w:vAlign w:val="center"/>
          </w:tcPr>
          <w:p w14:paraId="2C1367E5" w14:textId="77777777" w:rsidR="00AC6D4E" w:rsidRDefault="00000000">
            <w:pPr>
              <w:keepNext/>
              <w:keepLines/>
              <w:spacing w:after="0" w:line="240" w:lineRule="auto"/>
              <w:jc w:val="right"/>
            </w:pPr>
            <w:r>
              <w:rPr>
                <w:sz w:val="18"/>
              </w:rPr>
              <w:t>5.063,26</w:t>
            </w:r>
          </w:p>
        </w:tc>
        <w:tc>
          <w:tcPr>
            <w:tcW w:w="700" w:type="dxa"/>
            <w:tcMar>
              <w:top w:w="0" w:type="dxa"/>
              <w:bottom w:w="0" w:type="dxa"/>
            </w:tcMar>
            <w:vAlign w:val="center"/>
          </w:tcPr>
          <w:p w14:paraId="7F85870B" w14:textId="77777777" w:rsidR="00AC6D4E" w:rsidRDefault="00000000">
            <w:pPr>
              <w:keepNext/>
              <w:keepLines/>
              <w:spacing w:after="0" w:line="240" w:lineRule="auto"/>
              <w:jc w:val="right"/>
            </w:pPr>
            <w:r>
              <w:rPr>
                <w:sz w:val="18"/>
              </w:rPr>
              <w:t>82,1</w:t>
            </w:r>
          </w:p>
        </w:tc>
      </w:tr>
    </w:tbl>
    <w:p w14:paraId="0670872D" w14:textId="77777777" w:rsidR="00AC6D4E" w:rsidRDefault="00AC6D4E">
      <w:pPr>
        <w:spacing w:after="0"/>
      </w:pPr>
    </w:p>
    <w:p w14:paraId="25FE80F2" w14:textId="77777777" w:rsidR="00AC6D4E" w:rsidRDefault="00000000" w:rsidP="002D21C3">
      <w:pPr>
        <w:jc w:val="both"/>
      </w:pPr>
      <w:r>
        <w:t>Naknada za prijevoz zaposlenih u izvještajnom razdoblju iznosi 5.063,26 eura. Navedeno je rezultat manjeg iznosa troška prijevoza zaposlenika na posao i s posla, sukladno njihovom prebivalištu/boravištu i trošku prijevoza po prijeđenoj kilometraži, ali i bolovanju pojedinih zaposlenika.</w:t>
      </w:r>
    </w:p>
    <w:p w14:paraId="2FA59536" w14:textId="77777777" w:rsidR="00AC6D4E" w:rsidRDefault="00AC6D4E"/>
    <w:p w14:paraId="7E5A1586" w14:textId="77777777" w:rsidR="00AC6D4E"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6D4E" w14:paraId="486EC0C2" w14:textId="77777777">
        <w:trPr>
          <w:cantSplit/>
        </w:trPr>
        <w:tc>
          <w:tcPr>
            <w:tcW w:w="700" w:type="dxa"/>
            <w:shd w:val="clear" w:color="auto" w:fill="E7F0F9"/>
            <w:tcMar>
              <w:top w:w="0" w:type="dxa"/>
              <w:bottom w:w="0" w:type="dxa"/>
            </w:tcMar>
            <w:vAlign w:val="center"/>
          </w:tcPr>
          <w:p w14:paraId="60F8BEDF" w14:textId="77777777" w:rsidR="00AC6D4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BF6154" w14:textId="77777777" w:rsidR="00AC6D4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05B811" w14:textId="77777777" w:rsidR="00AC6D4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735B3E" w14:textId="77777777" w:rsidR="00AC6D4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7FFEB0" w14:textId="77777777" w:rsidR="00AC6D4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5A8360" w14:textId="77777777" w:rsidR="00AC6D4E" w:rsidRDefault="00000000">
            <w:pPr>
              <w:keepNext/>
              <w:keepLines/>
              <w:spacing w:after="0" w:line="240" w:lineRule="auto"/>
              <w:jc w:val="center"/>
            </w:pPr>
            <w:r>
              <w:rPr>
                <w:b/>
                <w:sz w:val="18"/>
              </w:rPr>
              <w:t>Indeks (%)</w:t>
            </w:r>
          </w:p>
        </w:tc>
      </w:tr>
      <w:tr w:rsidR="00AC6D4E" w14:paraId="7A5F1EDF" w14:textId="77777777">
        <w:trPr>
          <w:cantSplit/>
          <w:trHeight w:val="560"/>
        </w:trPr>
        <w:tc>
          <w:tcPr>
            <w:tcW w:w="700" w:type="dxa"/>
            <w:tcMar>
              <w:top w:w="0" w:type="dxa"/>
              <w:bottom w:w="0" w:type="dxa"/>
            </w:tcMar>
            <w:vAlign w:val="center"/>
          </w:tcPr>
          <w:p w14:paraId="5BE5A5DF" w14:textId="77777777" w:rsidR="00AC6D4E" w:rsidRDefault="00000000">
            <w:pPr>
              <w:keepNext/>
              <w:keepLines/>
              <w:spacing w:after="0" w:line="240" w:lineRule="auto"/>
            </w:pPr>
            <w:r>
              <w:rPr>
                <w:sz w:val="18"/>
              </w:rPr>
              <w:t>3213</w:t>
            </w:r>
          </w:p>
        </w:tc>
        <w:tc>
          <w:tcPr>
            <w:tcW w:w="3180" w:type="dxa"/>
            <w:tcMar>
              <w:top w:w="0" w:type="dxa"/>
              <w:bottom w:w="0" w:type="dxa"/>
            </w:tcMar>
            <w:vAlign w:val="center"/>
          </w:tcPr>
          <w:p w14:paraId="14193C39" w14:textId="77777777" w:rsidR="00AC6D4E"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272812E0" w14:textId="77777777" w:rsidR="00AC6D4E" w:rsidRDefault="00000000">
            <w:pPr>
              <w:keepNext/>
              <w:keepLines/>
              <w:spacing w:after="0" w:line="240" w:lineRule="auto"/>
            </w:pPr>
            <w:r>
              <w:rPr>
                <w:sz w:val="18"/>
              </w:rPr>
              <w:t>3213</w:t>
            </w:r>
          </w:p>
        </w:tc>
        <w:tc>
          <w:tcPr>
            <w:tcW w:w="1860" w:type="dxa"/>
            <w:tcMar>
              <w:top w:w="0" w:type="dxa"/>
              <w:bottom w:w="0" w:type="dxa"/>
            </w:tcMar>
            <w:vAlign w:val="center"/>
          </w:tcPr>
          <w:p w14:paraId="4768EFBE" w14:textId="77777777" w:rsidR="00AC6D4E" w:rsidRDefault="00000000">
            <w:pPr>
              <w:keepNext/>
              <w:keepLines/>
              <w:spacing w:after="0" w:line="240" w:lineRule="auto"/>
              <w:jc w:val="right"/>
            </w:pPr>
            <w:r>
              <w:rPr>
                <w:sz w:val="18"/>
              </w:rPr>
              <w:t>0,00</w:t>
            </w:r>
          </w:p>
        </w:tc>
        <w:tc>
          <w:tcPr>
            <w:tcW w:w="1860" w:type="dxa"/>
            <w:tcMar>
              <w:top w:w="0" w:type="dxa"/>
              <w:bottom w:w="0" w:type="dxa"/>
            </w:tcMar>
            <w:vAlign w:val="center"/>
          </w:tcPr>
          <w:p w14:paraId="1FC23A18" w14:textId="77777777" w:rsidR="00AC6D4E" w:rsidRDefault="00000000">
            <w:pPr>
              <w:keepNext/>
              <w:keepLines/>
              <w:spacing w:after="0" w:line="240" w:lineRule="auto"/>
              <w:jc w:val="right"/>
            </w:pPr>
            <w:r>
              <w:rPr>
                <w:sz w:val="18"/>
              </w:rPr>
              <w:t>722,00</w:t>
            </w:r>
          </w:p>
        </w:tc>
        <w:tc>
          <w:tcPr>
            <w:tcW w:w="700" w:type="dxa"/>
            <w:tcMar>
              <w:top w:w="0" w:type="dxa"/>
              <w:bottom w:w="0" w:type="dxa"/>
            </w:tcMar>
            <w:vAlign w:val="center"/>
          </w:tcPr>
          <w:p w14:paraId="793B7E09" w14:textId="77777777" w:rsidR="00AC6D4E" w:rsidRDefault="00000000">
            <w:pPr>
              <w:keepNext/>
              <w:keepLines/>
              <w:spacing w:after="0" w:line="240" w:lineRule="auto"/>
              <w:jc w:val="right"/>
            </w:pPr>
            <w:r>
              <w:rPr>
                <w:sz w:val="18"/>
              </w:rPr>
              <w:t>-</w:t>
            </w:r>
          </w:p>
        </w:tc>
      </w:tr>
    </w:tbl>
    <w:p w14:paraId="2E3037BD" w14:textId="77777777" w:rsidR="00AC6D4E" w:rsidRDefault="00AC6D4E">
      <w:pPr>
        <w:spacing w:after="0"/>
      </w:pPr>
    </w:p>
    <w:p w14:paraId="0AD728B4" w14:textId="77777777" w:rsidR="00AC6D4E" w:rsidRDefault="00000000" w:rsidP="002D21C3">
      <w:pPr>
        <w:jc w:val="both"/>
      </w:pPr>
      <w:r>
        <w:t xml:space="preserve">Troškovi stručnog usavršavanja obuhvaćaju </w:t>
      </w:r>
      <w:proofErr w:type="spellStart"/>
      <w:r>
        <w:t>semiare</w:t>
      </w:r>
      <w:proofErr w:type="spellEnd"/>
      <w:r>
        <w:t xml:space="preserve">, </w:t>
      </w:r>
      <w:proofErr w:type="spellStart"/>
      <w:r>
        <w:t>webinare</w:t>
      </w:r>
      <w:proofErr w:type="spellEnd"/>
      <w:r>
        <w:t xml:space="preserve"> i ostale potrebne edukacije zaposlenika, a u prvom tromjesečju 2026. godine se odnose na ravnatelja, stručne radnike i računovodstvene radnike ustanove. U prošloj godini edukacije su realizirane u kasnijem razdoblju, nakon prvog tromjesečja 2025. godine.</w:t>
      </w:r>
    </w:p>
    <w:p w14:paraId="7B412919" w14:textId="77777777" w:rsidR="00AC6D4E" w:rsidRDefault="00AC6D4E"/>
    <w:p w14:paraId="0DD2AEA1" w14:textId="77777777" w:rsidR="00AC6D4E"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6D4E" w14:paraId="43F225F0" w14:textId="77777777">
        <w:trPr>
          <w:cantSplit/>
        </w:trPr>
        <w:tc>
          <w:tcPr>
            <w:tcW w:w="700" w:type="dxa"/>
            <w:shd w:val="clear" w:color="auto" w:fill="E7F0F9"/>
            <w:tcMar>
              <w:top w:w="0" w:type="dxa"/>
              <w:bottom w:w="0" w:type="dxa"/>
            </w:tcMar>
            <w:vAlign w:val="center"/>
          </w:tcPr>
          <w:p w14:paraId="6682046B" w14:textId="77777777" w:rsidR="00AC6D4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F063F9" w14:textId="77777777" w:rsidR="00AC6D4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381EE6" w14:textId="77777777" w:rsidR="00AC6D4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06366B" w14:textId="77777777" w:rsidR="00AC6D4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62910C" w14:textId="77777777" w:rsidR="00AC6D4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633B98" w14:textId="77777777" w:rsidR="00AC6D4E" w:rsidRDefault="00000000">
            <w:pPr>
              <w:keepNext/>
              <w:keepLines/>
              <w:spacing w:after="0" w:line="240" w:lineRule="auto"/>
              <w:jc w:val="center"/>
            </w:pPr>
            <w:r>
              <w:rPr>
                <w:b/>
                <w:sz w:val="18"/>
              </w:rPr>
              <w:t>Indeks (%)</w:t>
            </w:r>
          </w:p>
        </w:tc>
      </w:tr>
      <w:tr w:rsidR="00AC6D4E" w14:paraId="1A6AA6F2" w14:textId="77777777">
        <w:trPr>
          <w:cantSplit/>
          <w:trHeight w:val="560"/>
        </w:trPr>
        <w:tc>
          <w:tcPr>
            <w:tcW w:w="700" w:type="dxa"/>
            <w:tcMar>
              <w:top w:w="0" w:type="dxa"/>
              <w:bottom w:w="0" w:type="dxa"/>
            </w:tcMar>
            <w:vAlign w:val="center"/>
          </w:tcPr>
          <w:p w14:paraId="3BA63B5C" w14:textId="77777777" w:rsidR="00AC6D4E" w:rsidRDefault="00000000">
            <w:pPr>
              <w:keepNext/>
              <w:keepLines/>
              <w:spacing w:after="0" w:line="240" w:lineRule="auto"/>
            </w:pPr>
            <w:r>
              <w:rPr>
                <w:sz w:val="18"/>
              </w:rPr>
              <w:t>3222</w:t>
            </w:r>
          </w:p>
        </w:tc>
        <w:tc>
          <w:tcPr>
            <w:tcW w:w="3180" w:type="dxa"/>
            <w:tcMar>
              <w:top w:w="0" w:type="dxa"/>
              <w:bottom w:w="0" w:type="dxa"/>
            </w:tcMar>
            <w:vAlign w:val="center"/>
          </w:tcPr>
          <w:p w14:paraId="734003B9" w14:textId="77777777" w:rsidR="00AC6D4E" w:rsidRDefault="00000000">
            <w:pPr>
              <w:keepNext/>
              <w:keepLines/>
              <w:spacing w:after="0" w:line="240" w:lineRule="auto"/>
            </w:pPr>
            <w:r>
              <w:rPr>
                <w:sz w:val="18"/>
              </w:rPr>
              <w:t>Materijal i sirovine</w:t>
            </w:r>
          </w:p>
        </w:tc>
        <w:tc>
          <w:tcPr>
            <w:tcW w:w="700" w:type="dxa"/>
            <w:tcMar>
              <w:top w:w="0" w:type="dxa"/>
              <w:bottom w:w="0" w:type="dxa"/>
            </w:tcMar>
            <w:vAlign w:val="center"/>
          </w:tcPr>
          <w:p w14:paraId="79DBBF19" w14:textId="77777777" w:rsidR="00AC6D4E" w:rsidRDefault="00000000">
            <w:pPr>
              <w:keepNext/>
              <w:keepLines/>
              <w:spacing w:after="0" w:line="240" w:lineRule="auto"/>
            </w:pPr>
            <w:r>
              <w:rPr>
                <w:sz w:val="18"/>
              </w:rPr>
              <w:t>3222</w:t>
            </w:r>
          </w:p>
        </w:tc>
        <w:tc>
          <w:tcPr>
            <w:tcW w:w="1860" w:type="dxa"/>
            <w:tcMar>
              <w:top w:w="0" w:type="dxa"/>
              <w:bottom w:w="0" w:type="dxa"/>
            </w:tcMar>
            <w:vAlign w:val="center"/>
          </w:tcPr>
          <w:p w14:paraId="7E3F1BB0" w14:textId="77777777" w:rsidR="00AC6D4E" w:rsidRDefault="00000000">
            <w:pPr>
              <w:keepNext/>
              <w:keepLines/>
              <w:spacing w:after="0" w:line="240" w:lineRule="auto"/>
              <w:jc w:val="right"/>
            </w:pPr>
            <w:r>
              <w:rPr>
                <w:sz w:val="18"/>
              </w:rPr>
              <w:t>5.596,72</w:t>
            </w:r>
          </w:p>
        </w:tc>
        <w:tc>
          <w:tcPr>
            <w:tcW w:w="1860" w:type="dxa"/>
            <w:tcMar>
              <w:top w:w="0" w:type="dxa"/>
              <w:bottom w:w="0" w:type="dxa"/>
            </w:tcMar>
            <w:vAlign w:val="center"/>
          </w:tcPr>
          <w:p w14:paraId="561627A5" w14:textId="77777777" w:rsidR="00AC6D4E" w:rsidRDefault="00000000">
            <w:pPr>
              <w:keepNext/>
              <w:keepLines/>
              <w:spacing w:after="0" w:line="240" w:lineRule="auto"/>
              <w:jc w:val="right"/>
            </w:pPr>
            <w:r>
              <w:rPr>
                <w:sz w:val="18"/>
              </w:rPr>
              <w:t>7.888,21</w:t>
            </w:r>
          </w:p>
        </w:tc>
        <w:tc>
          <w:tcPr>
            <w:tcW w:w="700" w:type="dxa"/>
            <w:tcMar>
              <w:top w:w="0" w:type="dxa"/>
              <w:bottom w:w="0" w:type="dxa"/>
            </w:tcMar>
            <w:vAlign w:val="center"/>
          </w:tcPr>
          <w:p w14:paraId="2AFBD6C2" w14:textId="77777777" w:rsidR="00AC6D4E" w:rsidRDefault="00000000">
            <w:pPr>
              <w:keepNext/>
              <w:keepLines/>
              <w:spacing w:after="0" w:line="240" w:lineRule="auto"/>
              <w:jc w:val="right"/>
            </w:pPr>
            <w:r>
              <w:rPr>
                <w:sz w:val="18"/>
              </w:rPr>
              <w:t>140,9</w:t>
            </w:r>
          </w:p>
        </w:tc>
      </w:tr>
    </w:tbl>
    <w:p w14:paraId="08935CEC" w14:textId="77777777" w:rsidR="00AC6D4E" w:rsidRDefault="00AC6D4E">
      <w:pPr>
        <w:spacing w:after="0"/>
      </w:pPr>
    </w:p>
    <w:p w14:paraId="18607665" w14:textId="77777777" w:rsidR="00AC6D4E" w:rsidRDefault="00000000" w:rsidP="002D21C3">
      <w:pPr>
        <w:jc w:val="both"/>
      </w:pPr>
      <w:r>
        <w:lastRenderedPageBreak/>
        <w:t>Veći troškovi potrošnje materijala i sirovina su rezultat veće potrošnje namirnica i ostalih troškova vezanih za korisnike, zbog većeg broja korisnika, ali i većih cijena namirnica i ostalih troškova za potrebe korisnika.</w:t>
      </w:r>
    </w:p>
    <w:p w14:paraId="47AABE0F" w14:textId="77777777" w:rsidR="00AC6D4E" w:rsidRDefault="00AC6D4E"/>
    <w:p w14:paraId="7C4A1638" w14:textId="77777777" w:rsidR="00AC6D4E"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6D4E" w14:paraId="38AA1BB0" w14:textId="77777777">
        <w:trPr>
          <w:cantSplit/>
        </w:trPr>
        <w:tc>
          <w:tcPr>
            <w:tcW w:w="700" w:type="dxa"/>
            <w:shd w:val="clear" w:color="auto" w:fill="E7F0F9"/>
            <w:tcMar>
              <w:top w:w="0" w:type="dxa"/>
              <w:bottom w:w="0" w:type="dxa"/>
            </w:tcMar>
            <w:vAlign w:val="center"/>
          </w:tcPr>
          <w:p w14:paraId="41435B34" w14:textId="77777777" w:rsidR="00AC6D4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0EB348" w14:textId="77777777" w:rsidR="00AC6D4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009F61" w14:textId="77777777" w:rsidR="00AC6D4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EF3E5B" w14:textId="77777777" w:rsidR="00AC6D4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37F509" w14:textId="77777777" w:rsidR="00AC6D4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C03B28" w14:textId="77777777" w:rsidR="00AC6D4E" w:rsidRDefault="00000000">
            <w:pPr>
              <w:keepNext/>
              <w:keepLines/>
              <w:spacing w:after="0" w:line="240" w:lineRule="auto"/>
              <w:jc w:val="center"/>
            </w:pPr>
            <w:r>
              <w:rPr>
                <w:b/>
                <w:sz w:val="18"/>
              </w:rPr>
              <w:t>Indeks (%)</w:t>
            </w:r>
          </w:p>
        </w:tc>
      </w:tr>
      <w:tr w:rsidR="00AC6D4E" w14:paraId="4D6E3647" w14:textId="77777777">
        <w:trPr>
          <w:cantSplit/>
          <w:trHeight w:val="560"/>
        </w:trPr>
        <w:tc>
          <w:tcPr>
            <w:tcW w:w="700" w:type="dxa"/>
            <w:tcMar>
              <w:top w:w="0" w:type="dxa"/>
              <w:bottom w:w="0" w:type="dxa"/>
            </w:tcMar>
            <w:vAlign w:val="center"/>
          </w:tcPr>
          <w:p w14:paraId="70F50494" w14:textId="77777777" w:rsidR="00AC6D4E" w:rsidRDefault="00000000">
            <w:pPr>
              <w:keepNext/>
              <w:keepLines/>
              <w:spacing w:after="0" w:line="240" w:lineRule="auto"/>
            </w:pPr>
            <w:r>
              <w:rPr>
                <w:sz w:val="18"/>
              </w:rPr>
              <w:t>3223</w:t>
            </w:r>
          </w:p>
        </w:tc>
        <w:tc>
          <w:tcPr>
            <w:tcW w:w="3180" w:type="dxa"/>
            <w:tcMar>
              <w:top w:w="0" w:type="dxa"/>
              <w:bottom w:w="0" w:type="dxa"/>
            </w:tcMar>
            <w:vAlign w:val="center"/>
          </w:tcPr>
          <w:p w14:paraId="02BD9336" w14:textId="77777777" w:rsidR="00AC6D4E" w:rsidRDefault="00000000">
            <w:pPr>
              <w:keepNext/>
              <w:keepLines/>
              <w:spacing w:after="0" w:line="240" w:lineRule="auto"/>
            </w:pPr>
            <w:r>
              <w:rPr>
                <w:sz w:val="18"/>
              </w:rPr>
              <w:t>Energija</w:t>
            </w:r>
          </w:p>
        </w:tc>
        <w:tc>
          <w:tcPr>
            <w:tcW w:w="700" w:type="dxa"/>
            <w:tcMar>
              <w:top w:w="0" w:type="dxa"/>
              <w:bottom w:w="0" w:type="dxa"/>
            </w:tcMar>
            <w:vAlign w:val="center"/>
          </w:tcPr>
          <w:p w14:paraId="3DC53265" w14:textId="77777777" w:rsidR="00AC6D4E" w:rsidRDefault="00000000">
            <w:pPr>
              <w:keepNext/>
              <w:keepLines/>
              <w:spacing w:after="0" w:line="240" w:lineRule="auto"/>
            </w:pPr>
            <w:r>
              <w:rPr>
                <w:sz w:val="18"/>
              </w:rPr>
              <w:t>3223</w:t>
            </w:r>
          </w:p>
        </w:tc>
        <w:tc>
          <w:tcPr>
            <w:tcW w:w="1860" w:type="dxa"/>
            <w:tcMar>
              <w:top w:w="0" w:type="dxa"/>
              <w:bottom w:w="0" w:type="dxa"/>
            </w:tcMar>
            <w:vAlign w:val="center"/>
          </w:tcPr>
          <w:p w14:paraId="512B13E0" w14:textId="77777777" w:rsidR="00AC6D4E" w:rsidRDefault="00000000">
            <w:pPr>
              <w:keepNext/>
              <w:keepLines/>
              <w:spacing w:after="0" w:line="240" w:lineRule="auto"/>
              <w:jc w:val="right"/>
            </w:pPr>
            <w:r>
              <w:rPr>
                <w:sz w:val="18"/>
              </w:rPr>
              <w:t>4.335,06</w:t>
            </w:r>
          </w:p>
        </w:tc>
        <w:tc>
          <w:tcPr>
            <w:tcW w:w="1860" w:type="dxa"/>
            <w:tcMar>
              <w:top w:w="0" w:type="dxa"/>
              <w:bottom w:w="0" w:type="dxa"/>
            </w:tcMar>
            <w:vAlign w:val="center"/>
          </w:tcPr>
          <w:p w14:paraId="7CA65848" w14:textId="77777777" w:rsidR="00AC6D4E" w:rsidRDefault="00000000">
            <w:pPr>
              <w:keepNext/>
              <w:keepLines/>
              <w:spacing w:after="0" w:line="240" w:lineRule="auto"/>
              <w:jc w:val="right"/>
            </w:pPr>
            <w:r>
              <w:rPr>
                <w:sz w:val="18"/>
              </w:rPr>
              <w:t>5.485,11</w:t>
            </w:r>
          </w:p>
        </w:tc>
        <w:tc>
          <w:tcPr>
            <w:tcW w:w="700" w:type="dxa"/>
            <w:tcMar>
              <w:top w:w="0" w:type="dxa"/>
              <w:bottom w:w="0" w:type="dxa"/>
            </w:tcMar>
            <w:vAlign w:val="center"/>
          </w:tcPr>
          <w:p w14:paraId="1495AF2E" w14:textId="77777777" w:rsidR="00AC6D4E" w:rsidRDefault="00000000">
            <w:pPr>
              <w:keepNext/>
              <w:keepLines/>
              <w:spacing w:after="0" w:line="240" w:lineRule="auto"/>
              <w:jc w:val="right"/>
            </w:pPr>
            <w:r>
              <w:rPr>
                <w:sz w:val="18"/>
              </w:rPr>
              <w:t>126,5</w:t>
            </w:r>
          </w:p>
        </w:tc>
      </w:tr>
    </w:tbl>
    <w:p w14:paraId="18250EF9" w14:textId="77777777" w:rsidR="00AC6D4E" w:rsidRDefault="00AC6D4E">
      <w:pPr>
        <w:spacing w:after="0"/>
      </w:pPr>
    </w:p>
    <w:p w14:paraId="60BC1D61" w14:textId="77777777" w:rsidR="00AC6D4E" w:rsidRDefault="00000000" w:rsidP="002D21C3">
      <w:pPr>
        <w:jc w:val="both"/>
      </w:pPr>
      <w:r>
        <w:t>Evidentirani su veći troškovi energije za 26,50%, prvenstveno troškovi opskrbe energentima zbog poslovanja na novoj lokaciji (stan za organizirano stanovanje uz sveobuhvatnu podršku), ali i veće tržišne cijene pojedinih energenata.</w:t>
      </w:r>
    </w:p>
    <w:p w14:paraId="2BBFF18C" w14:textId="77777777" w:rsidR="00AC6D4E" w:rsidRDefault="00AC6D4E"/>
    <w:p w14:paraId="7DA2637E" w14:textId="77777777" w:rsidR="00AC6D4E"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6D4E" w14:paraId="632D2A0E" w14:textId="77777777">
        <w:trPr>
          <w:cantSplit/>
        </w:trPr>
        <w:tc>
          <w:tcPr>
            <w:tcW w:w="700" w:type="dxa"/>
            <w:shd w:val="clear" w:color="auto" w:fill="E7F0F9"/>
            <w:tcMar>
              <w:top w:w="0" w:type="dxa"/>
              <w:bottom w:w="0" w:type="dxa"/>
            </w:tcMar>
            <w:vAlign w:val="center"/>
          </w:tcPr>
          <w:p w14:paraId="59CFDE98" w14:textId="77777777" w:rsidR="00AC6D4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69B56F2" w14:textId="77777777" w:rsidR="00AC6D4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6340B4" w14:textId="77777777" w:rsidR="00AC6D4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B61B78" w14:textId="77777777" w:rsidR="00AC6D4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48C1E2" w14:textId="77777777" w:rsidR="00AC6D4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42B52B" w14:textId="77777777" w:rsidR="00AC6D4E" w:rsidRDefault="00000000">
            <w:pPr>
              <w:keepNext/>
              <w:keepLines/>
              <w:spacing w:after="0" w:line="240" w:lineRule="auto"/>
              <w:jc w:val="center"/>
            </w:pPr>
            <w:r>
              <w:rPr>
                <w:b/>
                <w:sz w:val="18"/>
              </w:rPr>
              <w:t>Indeks (%)</w:t>
            </w:r>
          </w:p>
        </w:tc>
      </w:tr>
      <w:tr w:rsidR="00AC6D4E" w14:paraId="55AA6DB6" w14:textId="77777777">
        <w:trPr>
          <w:cantSplit/>
          <w:trHeight w:val="560"/>
        </w:trPr>
        <w:tc>
          <w:tcPr>
            <w:tcW w:w="700" w:type="dxa"/>
            <w:tcMar>
              <w:top w:w="0" w:type="dxa"/>
              <w:bottom w:w="0" w:type="dxa"/>
            </w:tcMar>
            <w:vAlign w:val="center"/>
          </w:tcPr>
          <w:p w14:paraId="56B34974" w14:textId="77777777" w:rsidR="00AC6D4E" w:rsidRDefault="00000000">
            <w:pPr>
              <w:keepNext/>
              <w:keepLines/>
              <w:spacing w:after="0" w:line="240" w:lineRule="auto"/>
            </w:pPr>
            <w:r>
              <w:rPr>
                <w:sz w:val="18"/>
              </w:rPr>
              <w:t>3224</w:t>
            </w:r>
          </w:p>
        </w:tc>
        <w:tc>
          <w:tcPr>
            <w:tcW w:w="3180" w:type="dxa"/>
            <w:tcMar>
              <w:top w:w="0" w:type="dxa"/>
              <w:bottom w:w="0" w:type="dxa"/>
            </w:tcMar>
            <w:vAlign w:val="center"/>
          </w:tcPr>
          <w:p w14:paraId="3715D656" w14:textId="77777777" w:rsidR="00AC6D4E"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5BCC69FF" w14:textId="77777777" w:rsidR="00AC6D4E" w:rsidRDefault="00000000">
            <w:pPr>
              <w:keepNext/>
              <w:keepLines/>
              <w:spacing w:after="0" w:line="240" w:lineRule="auto"/>
            </w:pPr>
            <w:r>
              <w:rPr>
                <w:sz w:val="18"/>
              </w:rPr>
              <w:t>3224</w:t>
            </w:r>
          </w:p>
        </w:tc>
        <w:tc>
          <w:tcPr>
            <w:tcW w:w="1860" w:type="dxa"/>
            <w:tcMar>
              <w:top w:w="0" w:type="dxa"/>
              <w:bottom w:w="0" w:type="dxa"/>
            </w:tcMar>
            <w:vAlign w:val="center"/>
          </w:tcPr>
          <w:p w14:paraId="4C0B43C9" w14:textId="77777777" w:rsidR="00AC6D4E" w:rsidRDefault="00000000">
            <w:pPr>
              <w:keepNext/>
              <w:keepLines/>
              <w:spacing w:after="0" w:line="240" w:lineRule="auto"/>
              <w:jc w:val="right"/>
            </w:pPr>
            <w:r>
              <w:rPr>
                <w:sz w:val="18"/>
              </w:rPr>
              <w:t>1.117,54</w:t>
            </w:r>
          </w:p>
        </w:tc>
        <w:tc>
          <w:tcPr>
            <w:tcW w:w="1860" w:type="dxa"/>
            <w:tcMar>
              <w:top w:w="0" w:type="dxa"/>
              <w:bottom w:w="0" w:type="dxa"/>
            </w:tcMar>
            <w:vAlign w:val="center"/>
          </w:tcPr>
          <w:p w14:paraId="6734624A" w14:textId="77777777" w:rsidR="00AC6D4E" w:rsidRDefault="00000000">
            <w:pPr>
              <w:keepNext/>
              <w:keepLines/>
              <w:spacing w:after="0" w:line="240" w:lineRule="auto"/>
              <w:jc w:val="right"/>
            </w:pPr>
            <w:r>
              <w:rPr>
                <w:sz w:val="18"/>
              </w:rPr>
              <w:t>421,89</w:t>
            </w:r>
          </w:p>
        </w:tc>
        <w:tc>
          <w:tcPr>
            <w:tcW w:w="700" w:type="dxa"/>
            <w:tcMar>
              <w:top w:w="0" w:type="dxa"/>
              <w:bottom w:w="0" w:type="dxa"/>
            </w:tcMar>
            <w:vAlign w:val="center"/>
          </w:tcPr>
          <w:p w14:paraId="5FAB9CC7" w14:textId="77777777" w:rsidR="00AC6D4E" w:rsidRDefault="00000000">
            <w:pPr>
              <w:keepNext/>
              <w:keepLines/>
              <w:spacing w:after="0" w:line="240" w:lineRule="auto"/>
              <w:jc w:val="right"/>
            </w:pPr>
            <w:r>
              <w:rPr>
                <w:sz w:val="18"/>
              </w:rPr>
              <w:t>37,8</w:t>
            </w:r>
          </w:p>
        </w:tc>
      </w:tr>
    </w:tbl>
    <w:p w14:paraId="063FBCC8" w14:textId="77777777" w:rsidR="00AC6D4E" w:rsidRDefault="00AC6D4E">
      <w:pPr>
        <w:spacing w:after="0"/>
      </w:pPr>
    </w:p>
    <w:p w14:paraId="5639FA14" w14:textId="77777777" w:rsidR="00AC6D4E" w:rsidRDefault="00000000" w:rsidP="002D21C3">
      <w:pPr>
        <w:jc w:val="both"/>
      </w:pPr>
      <w:r>
        <w:t>Manji troškovi materijala za tekuće i investicijsko održavanje se odnose na troškove održavanja postrojenja i opreme te prijevoznih sredstava, prvenstveno zbog manje potrebe izvanrednih popravaka opreme i prijevoznih sredstava u odnosu na prošlu godinu.</w:t>
      </w:r>
    </w:p>
    <w:p w14:paraId="093BBEAA" w14:textId="77777777" w:rsidR="00AC6D4E" w:rsidRDefault="00AC6D4E"/>
    <w:p w14:paraId="540E3ABA" w14:textId="77777777" w:rsidR="00AC6D4E"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6D4E" w14:paraId="2D0971B7" w14:textId="77777777">
        <w:trPr>
          <w:cantSplit/>
        </w:trPr>
        <w:tc>
          <w:tcPr>
            <w:tcW w:w="700" w:type="dxa"/>
            <w:shd w:val="clear" w:color="auto" w:fill="E7F0F9"/>
            <w:tcMar>
              <w:top w:w="0" w:type="dxa"/>
              <w:bottom w:w="0" w:type="dxa"/>
            </w:tcMar>
            <w:vAlign w:val="center"/>
          </w:tcPr>
          <w:p w14:paraId="40EFC989" w14:textId="77777777" w:rsidR="00AC6D4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13700D" w14:textId="77777777" w:rsidR="00AC6D4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BE700C" w14:textId="77777777" w:rsidR="00AC6D4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DD6795" w14:textId="77777777" w:rsidR="00AC6D4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DB9631" w14:textId="77777777" w:rsidR="00AC6D4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1DD88C" w14:textId="77777777" w:rsidR="00AC6D4E" w:rsidRDefault="00000000">
            <w:pPr>
              <w:keepNext/>
              <w:keepLines/>
              <w:spacing w:after="0" w:line="240" w:lineRule="auto"/>
              <w:jc w:val="center"/>
            </w:pPr>
            <w:r>
              <w:rPr>
                <w:b/>
                <w:sz w:val="18"/>
              </w:rPr>
              <w:t>Indeks (%)</w:t>
            </w:r>
          </w:p>
        </w:tc>
      </w:tr>
      <w:tr w:rsidR="00AC6D4E" w14:paraId="42332542" w14:textId="77777777">
        <w:trPr>
          <w:cantSplit/>
          <w:trHeight w:val="560"/>
        </w:trPr>
        <w:tc>
          <w:tcPr>
            <w:tcW w:w="700" w:type="dxa"/>
            <w:tcMar>
              <w:top w:w="0" w:type="dxa"/>
              <w:bottom w:w="0" w:type="dxa"/>
            </w:tcMar>
            <w:vAlign w:val="center"/>
          </w:tcPr>
          <w:p w14:paraId="5E5C40E3" w14:textId="77777777" w:rsidR="00AC6D4E" w:rsidRDefault="00000000">
            <w:pPr>
              <w:keepNext/>
              <w:keepLines/>
              <w:spacing w:after="0" w:line="240" w:lineRule="auto"/>
            </w:pPr>
            <w:r>
              <w:rPr>
                <w:sz w:val="18"/>
              </w:rPr>
              <w:t>3233</w:t>
            </w:r>
          </w:p>
        </w:tc>
        <w:tc>
          <w:tcPr>
            <w:tcW w:w="3180" w:type="dxa"/>
            <w:tcMar>
              <w:top w:w="0" w:type="dxa"/>
              <w:bottom w:w="0" w:type="dxa"/>
            </w:tcMar>
            <w:vAlign w:val="center"/>
          </w:tcPr>
          <w:p w14:paraId="14322247" w14:textId="77777777" w:rsidR="00AC6D4E" w:rsidRDefault="00000000">
            <w:pPr>
              <w:keepNext/>
              <w:keepLines/>
              <w:spacing w:after="0" w:line="240" w:lineRule="auto"/>
            </w:pPr>
            <w:r>
              <w:rPr>
                <w:sz w:val="18"/>
              </w:rPr>
              <w:t>Usluge promidžbe i informiranja</w:t>
            </w:r>
          </w:p>
        </w:tc>
        <w:tc>
          <w:tcPr>
            <w:tcW w:w="700" w:type="dxa"/>
            <w:tcMar>
              <w:top w:w="0" w:type="dxa"/>
              <w:bottom w:w="0" w:type="dxa"/>
            </w:tcMar>
            <w:vAlign w:val="center"/>
          </w:tcPr>
          <w:p w14:paraId="6259C127" w14:textId="77777777" w:rsidR="00AC6D4E" w:rsidRDefault="00000000">
            <w:pPr>
              <w:keepNext/>
              <w:keepLines/>
              <w:spacing w:after="0" w:line="240" w:lineRule="auto"/>
            </w:pPr>
            <w:r>
              <w:rPr>
                <w:sz w:val="18"/>
              </w:rPr>
              <w:t>3233</w:t>
            </w:r>
          </w:p>
        </w:tc>
        <w:tc>
          <w:tcPr>
            <w:tcW w:w="1860" w:type="dxa"/>
            <w:tcMar>
              <w:top w:w="0" w:type="dxa"/>
              <w:bottom w:w="0" w:type="dxa"/>
            </w:tcMar>
            <w:vAlign w:val="center"/>
          </w:tcPr>
          <w:p w14:paraId="2853DA53" w14:textId="77777777" w:rsidR="00AC6D4E" w:rsidRDefault="00000000">
            <w:pPr>
              <w:keepNext/>
              <w:keepLines/>
              <w:spacing w:after="0" w:line="240" w:lineRule="auto"/>
              <w:jc w:val="right"/>
            </w:pPr>
            <w:r>
              <w:rPr>
                <w:sz w:val="18"/>
              </w:rPr>
              <w:t>1.540,00</w:t>
            </w:r>
          </w:p>
        </w:tc>
        <w:tc>
          <w:tcPr>
            <w:tcW w:w="1860" w:type="dxa"/>
            <w:tcMar>
              <w:top w:w="0" w:type="dxa"/>
              <w:bottom w:w="0" w:type="dxa"/>
            </w:tcMar>
            <w:vAlign w:val="center"/>
          </w:tcPr>
          <w:p w14:paraId="33EB5DDF" w14:textId="77777777" w:rsidR="00AC6D4E" w:rsidRDefault="00000000">
            <w:pPr>
              <w:keepNext/>
              <w:keepLines/>
              <w:spacing w:after="0" w:line="240" w:lineRule="auto"/>
              <w:jc w:val="right"/>
            </w:pPr>
            <w:r>
              <w:rPr>
                <w:sz w:val="18"/>
              </w:rPr>
              <w:t>1.821,25</w:t>
            </w:r>
          </w:p>
        </w:tc>
        <w:tc>
          <w:tcPr>
            <w:tcW w:w="700" w:type="dxa"/>
            <w:tcMar>
              <w:top w:w="0" w:type="dxa"/>
              <w:bottom w:w="0" w:type="dxa"/>
            </w:tcMar>
            <w:vAlign w:val="center"/>
          </w:tcPr>
          <w:p w14:paraId="677D04EF" w14:textId="77777777" w:rsidR="00AC6D4E" w:rsidRDefault="00000000">
            <w:pPr>
              <w:keepNext/>
              <w:keepLines/>
              <w:spacing w:after="0" w:line="240" w:lineRule="auto"/>
              <w:jc w:val="right"/>
            </w:pPr>
            <w:r>
              <w:rPr>
                <w:sz w:val="18"/>
              </w:rPr>
              <w:t>118,3</w:t>
            </w:r>
          </w:p>
        </w:tc>
      </w:tr>
    </w:tbl>
    <w:p w14:paraId="3F29260D" w14:textId="77777777" w:rsidR="00AC6D4E" w:rsidRDefault="00AC6D4E">
      <w:pPr>
        <w:spacing w:after="0"/>
      </w:pPr>
    </w:p>
    <w:p w14:paraId="28A588BB" w14:textId="77777777" w:rsidR="00AC6D4E" w:rsidRDefault="00000000" w:rsidP="002D21C3">
      <w:pPr>
        <w:jc w:val="both"/>
      </w:pPr>
      <w:r>
        <w:t>Rashodi za usluge promidžbe i informiranja u izvještajnom razdoblju iznose 1.821,25 eura, a odnose se na objavu natječaja za zapošljavanje u Narodnim Novinama. Količina objavljenih natječaja u tekućem izvještajnom razdoblju je rezultat potrebe Ustanove za novim zapošljavanjima, uz potrebu ponavljanja natječaja.</w:t>
      </w:r>
    </w:p>
    <w:p w14:paraId="717B36C3" w14:textId="77777777" w:rsidR="00AC6D4E" w:rsidRDefault="00AC6D4E"/>
    <w:p w14:paraId="1EF0C5F6" w14:textId="77777777" w:rsidR="00AC6D4E" w:rsidRDefault="00000000">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6D4E" w14:paraId="1FACF3FF" w14:textId="77777777">
        <w:trPr>
          <w:cantSplit/>
        </w:trPr>
        <w:tc>
          <w:tcPr>
            <w:tcW w:w="700" w:type="dxa"/>
            <w:shd w:val="clear" w:color="auto" w:fill="E7F0F9"/>
            <w:tcMar>
              <w:top w:w="0" w:type="dxa"/>
              <w:bottom w:w="0" w:type="dxa"/>
            </w:tcMar>
            <w:vAlign w:val="center"/>
          </w:tcPr>
          <w:p w14:paraId="15E7303B" w14:textId="77777777" w:rsidR="00AC6D4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32144F" w14:textId="77777777" w:rsidR="00AC6D4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420279" w14:textId="77777777" w:rsidR="00AC6D4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65CBC0" w14:textId="77777777" w:rsidR="00AC6D4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465EE3" w14:textId="77777777" w:rsidR="00AC6D4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B31804" w14:textId="77777777" w:rsidR="00AC6D4E" w:rsidRDefault="00000000">
            <w:pPr>
              <w:keepNext/>
              <w:keepLines/>
              <w:spacing w:after="0" w:line="240" w:lineRule="auto"/>
              <w:jc w:val="center"/>
            </w:pPr>
            <w:r>
              <w:rPr>
                <w:b/>
                <w:sz w:val="18"/>
              </w:rPr>
              <w:t>Indeks (%)</w:t>
            </w:r>
          </w:p>
        </w:tc>
      </w:tr>
      <w:tr w:rsidR="00AC6D4E" w14:paraId="1716C834" w14:textId="77777777">
        <w:trPr>
          <w:cantSplit/>
          <w:trHeight w:val="560"/>
        </w:trPr>
        <w:tc>
          <w:tcPr>
            <w:tcW w:w="700" w:type="dxa"/>
            <w:tcMar>
              <w:top w:w="0" w:type="dxa"/>
              <w:bottom w:w="0" w:type="dxa"/>
            </w:tcMar>
            <w:vAlign w:val="center"/>
          </w:tcPr>
          <w:p w14:paraId="49194D5C" w14:textId="77777777" w:rsidR="00AC6D4E" w:rsidRDefault="00000000">
            <w:pPr>
              <w:keepNext/>
              <w:keepLines/>
              <w:spacing w:after="0" w:line="240" w:lineRule="auto"/>
            </w:pPr>
            <w:r>
              <w:rPr>
                <w:sz w:val="18"/>
              </w:rPr>
              <w:t>3235</w:t>
            </w:r>
          </w:p>
        </w:tc>
        <w:tc>
          <w:tcPr>
            <w:tcW w:w="3180" w:type="dxa"/>
            <w:tcMar>
              <w:top w:w="0" w:type="dxa"/>
              <w:bottom w:w="0" w:type="dxa"/>
            </w:tcMar>
            <w:vAlign w:val="center"/>
          </w:tcPr>
          <w:p w14:paraId="6AB9A673" w14:textId="77777777" w:rsidR="00AC6D4E" w:rsidRDefault="00000000">
            <w:pPr>
              <w:keepNext/>
              <w:keepLines/>
              <w:spacing w:after="0" w:line="240" w:lineRule="auto"/>
            </w:pPr>
            <w:r>
              <w:rPr>
                <w:sz w:val="18"/>
              </w:rPr>
              <w:t>Zakupnine i najamnine</w:t>
            </w:r>
          </w:p>
        </w:tc>
        <w:tc>
          <w:tcPr>
            <w:tcW w:w="700" w:type="dxa"/>
            <w:tcMar>
              <w:top w:w="0" w:type="dxa"/>
              <w:bottom w:w="0" w:type="dxa"/>
            </w:tcMar>
            <w:vAlign w:val="center"/>
          </w:tcPr>
          <w:p w14:paraId="6F33766C" w14:textId="77777777" w:rsidR="00AC6D4E" w:rsidRDefault="00000000">
            <w:pPr>
              <w:keepNext/>
              <w:keepLines/>
              <w:spacing w:after="0" w:line="240" w:lineRule="auto"/>
            </w:pPr>
            <w:r>
              <w:rPr>
                <w:sz w:val="18"/>
              </w:rPr>
              <w:t>3235</w:t>
            </w:r>
          </w:p>
        </w:tc>
        <w:tc>
          <w:tcPr>
            <w:tcW w:w="1860" w:type="dxa"/>
            <w:tcMar>
              <w:top w:w="0" w:type="dxa"/>
              <w:bottom w:w="0" w:type="dxa"/>
            </w:tcMar>
            <w:vAlign w:val="center"/>
          </w:tcPr>
          <w:p w14:paraId="2452F59D" w14:textId="77777777" w:rsidR="00AC6D4E" w:rsidRDefault="00000000">
            <w:pPr>
              <w:keepNext/>
              <w:keepLines/>
              <w:spacing w:after="0" w:line="240" w:lineRule="auto"/>
              <w:jc w:val="right"/>
            </w:pPr>
            <w:r>
              <w:rPr>
                <w:sz w:val="18"/>
              </w:rPr>
              <w:t>2.400,00</w:t>
            </w:r>
          </w:p>
        </w:tc>
        <w:tc>
          <w:tcPr>
            <w:tcW w:w="1860" w:type="dxa"/>
            <w:tcMar>
              <w:top w:w="0" w:type="dxa"/>
              <w:bottom w:w="0" w:type="dxa"/>
            </w:tcMar>
            <w:vAlign w:val="center"/>
          </w:tcPr>
          <w:p w14:paraId="1DA53C90" w14:textId="77777777" w:rsidR="00AC6D4E" w:rsidRDefault="00000000">
            <w:pPr>
              <w:keepNext/>
              <w:keepLines/>
              <w:spacing w:after="0" w:line="240" w:lineRule="auto"/>
              <w:jc w:val="right"/>
            </w:pPr>
            <w:r>
              <w:rPr>
                <w:sz w:val="18"/>
              </w:rPr>
              <w:t>2.400,00</w:t>
            </w:r>
          </w:p>
        </w:tc>
        <w:tc>
          <w:tcPr>
            <w:tcW w:w="700" w:type="dxa"/>
            <w:tcMar>
              <w:top w:w="0" w:type="dxa"/>
              <w:bottom w:w="0" w:type="dxa"/>
            </w:tcMar>
            <w:vAlign w:val="center"/>
          </w:tcPr>
          <w:p w14:paraId="67112073" w14:textId="77777777" w:rsidR="00AC6D4E" w:rsidRDefault="00000000">
            <w:pPr>
              <w:keepNext/>
              <w:keepLines/>
              <w:spacing w:after="0" w:line="240" w:lineRule="auto"/>
              <w:jc w:val="right"/>
            </w:pPr>
            <w:r>
              <w:rPr>
                <w:sz w:val="18"/>
              </w:rPr>
              <w:t>100</w:t>
            </w:r>
          </w:p>
        </w:tc>
      </w:tr>
    </w:tbl>
    <w:p w14:paraId="600B1FFF" w14:textId="77777777" w:rsidR="00AC6D4E" w:rsidRDefault="00AC6D4E">
      <w:pPr>
        <w:spacing w:after="0"/>
      </w:pPr>
    </w:p>
    <w:p w14:paraId="25D760D1" w14:textId="77777777" w:rsidR="00AC6D4E" w:rsidRDefault="00000000" w:rsidP="002D21C3">
      <w:pPr>
        <w:jc w:val="both"/>
      </w:pPr>
      <w:r>
        <w:t>Evidentirani rashod od 2.400,00 eura se odnosi na najam poslovnog prostora (stan za organizirano stanovanje korisnika Ustanove) koji je realiziran od listopada 2024. godine (800,00 eura mjesečno).</w:t>
      </w:r>
    </w:p>
    <w:p w14:paraId="52A9E9F9" w14:textId="77777777" w:rsidR="00AC6D4E" w:rsidRDefault="00AC6D4E"/>
    <w:p w14:paraId="5B81CA33" w14:textId="77777777" w:rsidR="00AC6D4E"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6D4E" w14:paraId="4C6A739C" w14:textId="77777777">
        <w:trPr>
          <w:cantSplit/>
        </w:trPr>
        <w:tc>
          <w:tcPr>
            <w:tcW w:w="700" w:type="dxa"/>
            <w:shd w:val="clear" w:color="auto" w:fill="E7F0F9"/>
            <w:tcMar>
              <w:top w:w="0" w:type="dxa"/>
              <w:bottom w:w="0" w:type="dxa"/>
            </w:tcMar>
            <w:vAlign w:val="center"/>
          </w:tcPr>
          <w:p w14:paraId="1D36F114" w14:textId="77777777" w:rsidR="00AC6D4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CB4AFB" w14:textId="77777777" w:rsidR="00AC6D4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085A4D" w14:textId="77777777" w:rsidR="00AC6D4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7CEAA6" w14:textId="77777777" w:rsidR="00AC6D4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42E8B9" w14:textId="77777777" w:rsidR="00AC6D4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E6FC51" w14:textId="77777777" w:rsidR="00AC6D4E" w:rsidRDefault="00000000">
            <w:pPr>
              <w:keepNext/>
              <w:keepLines/>
              <w:spacing w:after="0" w:line="240" w:lineRule="auto"/>
              <w:jc w:val="center"/>
            </w:pPr>
            <w:r>
              <w:rPr>
                <w:b/>
                <w:sz w:val="18"/>
              </w:rPr>
              <w:t>Indeks (%)</w:t>
            </w:r>
          </w:p>
        </w:tc>
      </w:tr>
      <w:tr w:rsidR="00AC6D4E" w14:paraId="48573535" w14:textId="77777777">
        <w:trPr>
          <w:cantSplit/>
          <w:trHeight w:val="560"/>
        </w:trPr>
        <w:tc>
          <w:tcPr>
            <w:tcW w:w="700" w:type="dxa"/>
            <w:tcMar>
              <w:top w:w="0" w:type="dxa"/>
              <w:bottom w:w="0" w:type="dxa"/>
            </w:tcMar>
            <w:vAlign w:val="center"/>
          </w:tcPr>
          <w:p w14:paraId="2AE20CC0" w14:textId="77777777" w:rsidR="00AC6D4E" w:rsidRDefault="00000000">
            <w:pPr>
              <w:keepNext/>
              <w:keepLines/>
              <w:spacing w:after="0" w:line="240" w:lineRule="auto"/>
            </w:pPr>
            <w:r>
              <w:rPr>
                <w:sz w:val="18"/>
              </w:rPr>
              <w:t>3237</w:t>
            </w:r>
          </w:p>
        </w:tc>
        <w:tc>
          <w:tcPr>
            <w:tcW w:w="3180" w:type="dxa"/>
            <w:tcMar>
              <w:top w:w="0" w:type="dxa"/>
              <w:bottom w:w="0" w:type="dxa"/>
            </w:tcMar>
            <w:vAlign w:val="center"/>
          </w:tcPr>
          <w:p w14:paraId="3D0FFCDD" w14:textId="77777777" w:rsidR="00AC6D4E"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29647F55" w14:textId="77777777" w:rsidR="00AC6D4E" w:rsidRDefault="00000000">
            <w:pPr>
              <w:keepNext/>
              <w:keepLines/>
              <w:spacing w:after="0" w:line="240" w:lineRule="auto"/>
            </w:pPr>
            <w:r>
              <w:rPr>
                <w:sz w:val="18"/>
              </w:rPr>
              <w:t>3237</w:t>
            </w:r>
          </w:p>
        </w:tc>
        <w:tc>
          <w:tcPr>
            <w:tcW w:w="1860" w:type="dxa"/>
            <w:tcMar>
              <w:top w:w="0" w:type="dxa"/>
              <w:bottom w:w="0" w:type="dxa"/>
            </w:tcMar>
            <w:vAlign w:val="center"/>
          </w:tcPr>
          <w:p w14:paraId="0F759994" w14:textId="77777777" w:rsidR="00AC6D4E" w:rsidRDefault="00000000">
            <w:pPr>
              <w:keepNext/>
              <w:keepLines/>
              <w:spacing w:after="0" w:line="240" w:lineRule="auto"/>
              <w:jc w:val="right"/>
            </w:pPr>
            <w:r>
              <w:rPr>
                <w:sz w:val="18"/>
              </w:rPr>
              <w:t>416,66</w:t>
            </w:r>
          </w:p>
        </w:tc>
        <w:tc>
          <w:tcPr>
            <w:tcW w:w="1860" w:type="dxa"/>
            <w:tcMar>
              <w:top w:w="0" w:type="dxa"/>
              <w:bottom w:w="0" w:type="dxa"/>
            </w:tcMar>
            <w:vAlign w:val="center"/>
          </w:tcPr>
          <w:p w14:paraId="2D9170FF" w14:textId="77777777" w:rsidR="00AC6D4E" w:rsidRDefault="00000000">
            <w:pPr>
              <w:keepNext/>
              <w:keepLines/>
              <w:spacing w:after="0" w:line="240" w:lineRule="auto"/>
              <w:jc w:val="right"/>
            </w:pPr>
            <w:r>
              <w:rPr>
                <w:sz w:val="18"/>
              </w:rPr>
              <w:t>937,48</w:t>
            </w:r>
          </w:p>
        </w:tc>
        <w:tc>
          <w:tcPr>
            <w:tcW w:w="700" w:type="dxa"/>
            <w:tcMar>
              <w:top w:w="0" w:type="dxa"/>
              <w:bottom w:w="0" w:type="dxa"/>
            </w:tcMar>
            <w:vAlign w:val="center"/>
          </w:tcPr>
          <w:p w14:paraId="3FA8C340" w14:textId="77777777" w:rsidR="00AC6D4E" w:rsidRDefault="00000000">
            <w:pPr>
              <w:keepNext/>
              <w:keepLines/>
              <w:spacing w:after="0" w:line="240" w:lineRule="auto"/>
              <w:jc w:val="right"/>
            </w:pPr>
            <w:r>
              <w:rPr>
                <w:sz w:val="18"/>
              </w:rPr>
              <w:t>225,0</w:t>
            </w:r>
          </w:p>
        </w:tc>
      </w:tr>
    </w:tbl>
    <w:p w14:paraId="54A10C9E" w14:textId="77777777" w:rsidR="00AC6D4E" w:rsidRDefault="00AC6D4E">
      <w:pPr>
        <w:spacing w:after="0"/>
      </w:pPr>
    </w:p>
    <w:p w14:paraId="416DE57C" w14:textId="77777777" w:rsidR="00AC6D4E" w:rsidRDefault="00000000">
      <w:r>
        <w:t>Rashodi za intelektualne usluge u izvještajnom razdoblju 2026. se odnose na usluge zaštite na radu, zaštite od požara te na savjetodavne i intelektualne usluge za rad sa novim softverom za e-inventuru.</w:t>
      </w:r>
    </w:p>
    <w:p w14:paraId="3009A8F4" w14:textId="77777777" w:rsidR="00AC6D4E" w:rsidRDefault="00AC6D4E"/>
    <w:p w14:paraId="7DA3697C" w14:textId="77777777" w:rsidR="00AC6D4E"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6D4E" w14:paraId="633BEC8F" w14:textId="77777777">
        <w:trPr>
          <w:cantSplit/>
        </w:trPr>
        <w:tc>
          <w:tcPr>
            <w:tcW w:w="700" w:type="dxa"/>
            <w:shd w:val="clear" w:color="auto" w:fill="E7F0F9"/>
            <w:tcMar>
              <w:top w:w="0" w:type="dxa"/>
              <w:bottom w:w="0" w:type="dxa"/>
            </w:tcMar>
            <w:vAlign w:val="center"/>
          </w:tcPr>
          <w:p w14:paraId="0112B9E1" w14:textId="77777777" w:rsidR="00AC6D4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719BB8" w14:textId="77777777" w:rsidR="00AC6D4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6FB76B" w14:textId="77777777" w:rsidR="00AC6D4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DC2D15" w14:textId="77777777" w:rsidR="00AC6D4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8BA54B8" w14:textId="77777777" w:rsidR="00AC6D4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510BBA" w14:textId="77777777" w:rsidR="00AC6D4E" w:rsidRDefault="00000000">
            <w:pPr>
              <w:keepNext/>
              <w:keepLines/>
              <w:spacing w:after="0" w:line="240" w:lineRule="auto"/>
              <w:jc w:val="center"/>
            </w:pPr>
            <w:r>
              <w:rPr>
                <w:b/>
                <w:sz w:val="18"/>
              </w:rPr>
              <w:t>Indeks (%)</w:t>
            </w:r>
          </w:p>
        </w:tc>
      </w:tr>
      <w:tr w:rsidR="00AC6D4E" w14:paraId="7EF197CD" w14:textId="77777777">
        <w:trPr>
          <w:cantSplit/>
          <w:trHeight w:val="560"/>
        </w:trPr>
        <w:tc>
          <w:tcPr>
            <w:tcW w:w="700" w:type="dxa"/>
            <w:tcMar>
              <w:top w:w="0" w:type="dxa"/>
              <w:bottom w:w="0" w:type="dxa"/>
            </w:tcMar>
            <w:vAlign w:val="center"/>
          </w:tcPr>
          <w:p w14:paraId="0CEF0BE2" w14:textId="77777777" w:rsidR="00AC6D4E" w:rsidRDefault="00000000">
            <w:pPr>
              <w:keepNext/>
              <w:keepLines/>
              <w:spacing w:after="0" w:line="240" w:lineRule="auto"/>
            </w:pPr>
            <w:r>
              <w:rPr>
                <w:sz w:val="18"/>
              </w:rPr>
              <w:t>3291</w:t>
            </w:r>
          </w:p>
        </w:tc>
        <w:tc>
          <w:tcPr>
            <w:tcW w:w="3180" w:type="dxa"/>
            <w:tcMar>
              <w:top w:w="0" w:type="dxa"/>
              <w:bottom w:w="0" w:type="dxa"/>
            </w:tcMar>
            <w:vAlign w:val="center"/>
          </w:tcPr>
          <w:p w14:paraId="49A7A016" w14:textId="77777777" w:rsidR="00AC6D4E" w:rsidRDefault="00000000">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3EB554AB" w14:textId="77777777" w:rsidR="00AC6D4E" w:rsidRDefault="00000000">
            <w:pPr>
              <w:keepNext/>
              <w:keepLines/>
              <w:spacing w:after="0" w:line="240" w:lineRule="auto"/>
            </w:pPr>
            <w:r>
              <w:rPr>
                <w:sz w:val="18"/>
              </w:rPr>
              <w:t>3291</w:t>
            </w:r>
          </w:p>
        </w:tc>
        <w:tc>
          <w:tcPr>
            <w:tcW w:w="1860" w:type="dxa"/>
            <w:tcMar>
              <w:top w:w="0" w:type="dxa"/>
              <w:bottom w:w="0" w:type="dxa"/>
            </w:tcMar>
            <w:vAlign w:val="center"/>
          </w:tcPr>
          <w:p w14:paraId="4D7DF472" w14:textId="77777777" w:rsidR="00AC6D4E" w:rsidRDefault="00000000">
            <w:pPr>
              <w:keepNext/>
              <w:keepLines/>
              <w:spacing w:after="0" w:line="240" w:lineRule="auto"/>
              <w:jc w:val="right"/>
            </w:pPr>
            <w:r>
              <w:rPr>
                <w:sz w:val="18"/>
              </w:rPr>
              <w:t>542,25</w:t>
            </w:r>
          </w:p>
        </w:tc>
        <w:tc>
          <w:tcPr>
            <w:tcW w:w="1860" w:type="dxa"/>
            <w:tcMar>
              <w:top w:w="0" w:type="dxa"/>
              <w:bottom w:w="0" w:type="dxa"/>
            </w:tcMar>
            <w:vAlign w:val="center"/>
          </w:tcPr>
          <w:p w14:paraId="74178876" w14:textId="77777777" w:rsidR="00AC6D4E" w:rsidRDefault="00000000">
            <w:pPr>
              <w:keepNext/>
              <w:keepLines/>
              <w:spacing w:after="0" w:line="240" w:lineRule="auto"/>
              <w:jc w:val="right"/>
            </w:pPr>
            <w:r>
              <w:rPr>
                <w:sz w:val="18"/>
              </w:rPr>
              <w:t>221,18</w:t>
            </w:r>
          </w:p>
        </w:tc>
        <w:tc>
          <w:tcPr>
            <w:tcW w:w="700" w:type="dxa"/>
            <w:tcMar>
              <w:top w:w="0" w:type="dxa"/>
              <w:bottom w:w="0" w:type="dxa"/>
            </w:tcMar>
            <w:vAlign w:val="center"/>
          </w:tcPr>
          <w:p w14:paraId="45DB08E8" w14:textId="77777777" w:rsidR="00AC6D4E" w:rsidRDefault="00000000">
            <w:pPr>
              <w:keepNext/>
              <w:keepLines/>
              <w:spacing w:after="0" w:line="240" w:lineRule="auto"/>
              <w:jc w:val="right"/>
            </w:pPr>
            <w:r>
              <w:rPr>
                <w:sz w:val="18"/>
              </w:rPr>
              <w:t>40,8</w:t>
            </w:r>
          </w:p>
        </w:tc>
      </w:tr>
    </w:tbl>
    <w:p w14:paraId="1559866A" w14:textId="77777777" w:rsidR="00AC6D4E" w:rsidRDefault="00AC6D4E">
      <w:pPr>
        <w:spacing w:after="0"/>
      </w:pPr>
    </w:p>
    <w:p w14:paraId="26865C90" w14:textId="77777777" w:rsidR="00AC6D4E" w:rsidRDefault="00000000" w:rsidP="002D21C3">
      <w:pPr>
        <w:jc w:val="both"/>
      </w:pPr>
      <w:r>
        <w:t>U tekućem izvještajnom razdoblju utrošeno je 221,18 eura za sjednice Upravnog vijeća. Realiziran je manji broj sjednica, sukladno potrebama Ustanove.</w:t>
      </w:r>
    </w:p>
    <w:p w14:paraId="0B99C1CE" w14:textId="77777777" w:rsidR="00AC6D4E" w:rsidRDefault="00AC6D4E"/>
    <w:p w14:paraId="24ACA5DF" w14:textId="77777777" w:rsidR="00AC6D4E"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6D4E" w14:paraId="2C7D22BC" w14:textId="77777777">
        <w:trPr>
          <w:cantSplit/>
        </w:trPr>
        <w:tc>
          <w:tcPr>
            <w:tcW w:w="700" w:type="dxa"/>
            <w:shd w:val="clear" w:color="auto" w:fill="E7F0F9"/>
            <w:tcMar>
              <w:top w:w="0" w:type="dxa"/>
              <w:bottom w:w="0" w:type="dxa"/>
            </w:tcMar>
            <w:vAlign w:val="center"/>
          </w:tcPr>
          <w:p w14:paraId="0E643208" w14:textId="77777777" w:rsidR="00AC6D4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E02477" w14:textId="77777777" w:rsidR="00AC6D4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E3AE9E" w14:textId="77777777" w:rsidR="00AC6D4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AE9E84" w14:textId="77777777" w:rsidR="00AC6D4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0413DA" w14:textId="77777777" w:rsidR="00AC6D4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7A9399" w14:textId="77777777" w:rsidR="00AC6D4E" w:rsidRDefault="00000000">
            <w:pPr>
              <w:keepNext/>
              <w:keepLines/>
              <w:spacing w:after="0" w:line="240" w:lineRule="auto"/>
              <w:jc w:val="center"/>
            </w:pPr>
            <w:r>
              <w:rPr>
                <w:b/>
                <w:sz w:val="18"/>
              </w:rPr>
              <w:t>Indeks (%)</w:t>
            </w:r>
          </w:p>
        </w:tc>
      </w:tr>
      <w:tr w:rsidR="00AC6D4E" w14:paraId="65FAF042" w14:textId="77777777">
        <w:trPr>
          <w:cantSplit/>
          <w:trHeight w:val="560"/>
        </w:trPr>
        <w:tc>
          <w:tcPr>
            <w:tcW w:w="700" w:type="dxa"/>
            <w:tcMar>
              <w:top w:w="0" w:type="dxa"/>
              <w:bottom w:w="0" w:type="dxa"/>
            </w:tcMar>
            <w:vAlign w:val="center"/>
          </w:tcPr>
          <w:p w14:paraId="57AA4B14" w14:textId="77777777" w:rsidR="00AC6D4E" w:rsidRDefault="00000000">
            <w:pPr>
              <w:keepNext/>
              <w:keepLines/>
              <w:spacing w:after="0" w:line="240" w:lineRule="auto"/>
            </w:pPr>
            <w:r>
              <w:rPr>
                <w:sz w:val="18"/>
              </w:rPr>
              <w:t>3299</w:t>
            </w:r>
          </w:p>
        </w:tc>
        <w:tc>
          <w:tcPr>
            <w:tcW w:w="3180" w:type="dxa"/>
            <w:tcMar>
              <w:top w:w="0" w:type="dxa"/>
              <w:bottom w:w="0" w:type="dxa"/>
            </w:tcMar>
            <w:vAlign w:val="center"/>
          </w:tcPr>
          <w:p w14:paraId="3B0F34BA" w14:textId="77777777" w:rsidR="00AC6D4E" w:rsidRDefault="00000000">
            <w:pPr>
              <w:keepNext/>
              <w:keepLines/>
              <w:spacing w:after="0" w:line="240" w:lineRule="auto"/>
            </w:pPr>
            <w:r>
              <w:rPr>
                <w:sz w:val="18"/>
              </w:rPr>
              <w:t>Ostali nespomenuti rashodi poslovanja</w:t>
            </w:r>
          </w:p>
        </w:tc>
        <w:tc>
          <w:tcPr>
            <w:tcW w:w="700" w:type="dxa"/>
            <w:tcMar>
              <w:top w:w="0" w:type="dxa"/>
              <w:bottom w:w="0" w:type="dxa"/>
            </w:tcMar>
            <w:vAlign w:val="center"/>
          </w:tcPr>
          <w:p w14:paraId="5166A414" w14:textId="77777777" w:rsidR="00AC6D4E" w:rsidRDefault="00000000">
            <w:pPr>
              <w:keepNext/>
              <w:keepLines/>
              <w:spacing w:after="0" w:line="240" w:lineRule="auto"/>
            </w:pPr>
            <w:r>
              <w:rPr>
                <w:sz w:val="18"/>
              </w:rPr>
              <w:t>3299</w:t>
            </w:r>
          </w:p>
        </w:tc>
        <w:tc>
          <w:tcPr>
            <w:tcW w:w="1860" w:type="dxa"/>
            <w:tcMar>
              <w:top w:w="0" w:type="dxa"/>
              <w:bottom w:w="0" w:type="dxa"/>
            </w:tcMar>
            <w:vAlign w:val="center"/>
          </w:tcPr>
          <w:p w14:paraId="69B16B4E" w14:textId="77777777" w:rsidR="00AC6D4E" w:rsidRDefault="00000000">
            <w:pPr>
              <w:keepNext/>
              <w:keepLines/>
              <w:spacing w:after="0" w:line="240" w:lineRule="auto"/>
              <w:jc w:val="right"/>
            </w:pPr>
            <w:r>
              <w:rPr>
                <w:sz w:val="18"/>
              </w:rPr>
              <w:t>132,19</w:t>
            </w:r>
          </w:p>
        </w:tc>
        <w:tc>
          <w:tcPr>
            <w:tcW w:w="1860" w:type="dxa"/>
            <w:tcMar>
              <w:top w:w="0" w:type="dxa"/>
              <w:bottom w:w="0" w:type="dxa"/>
            </w:tcMar>
            <w:vAlign w:val="center"/>
          </w:tcPr>
          <w:p w14:paraId="566E7995" w14:textId="77777777" w:rsidR="00AC6D4E" w:rsidRDefault="00000000">
            <w:pPr>
              <w:keepNext/>
              <w:keepLines/>
              <w:spacing w:after="0" w:line="240" w:lineRule="auto"/>
              <w:jc w:val="right"/>
            </w:pPr>
            <w:r>
              <w:rPr>
                <w:sz w:val="18"/>
              </w:rPr>
              <w:t>140,34</w:t>
            </w:r>
          </w:p>
        </w:tc>
        <w:tc>
          <w:tcPr>
            <w:tcW w:w="700" w:type="dxa"/>
            <w:tcMar>
              <w:top w:w="0" w:type="dxa"/>
              <w:bottom w:w="0" w:type="dxa"/>
            </w:tcMar>
            <w:vAlign w:val="center"/>
          </w:tcPr>
          <w:p w14:paraId="673B38B2" w14:textId="77777777" w:rsidR="00AC6D4E" w:rsidRDefault="00000000">
            <w:pPr>
              <w:keepNext/>
              <w:keepLines/>
              <w:spacing w:after="0" w:line="240" w:lineRule="auto"/>
              <w:jc w:val="right"/>
            </w:pPr>
            <w:r>
              <w:rPr>
                <w:sz w:val="18"/>
              </w:rPr>
              <w:t>106,2</w:t>
            </w:r>
          </w:p>
        </w:tc>
      </w:tr>
    </w:tbl>
    <w:p w14:paraId="66E00DE2" w14:textId="77777777" w:rsidR="00AC6D4E" w:rsidRDefault="00AC6D4E" w:rsidP="002D21C3">
      <w:pPr>
        <w:spacing w:after="0"/>
        <w:jc w:val="both"/>
      </w:pPr>
    </w:p>
    <w:p w14:paraId="3C81853F" w14:textId="77777777" w:rsidR="00AC6D4E" w:rsidRDefault="00000000" w:rsidP="002D21C3">
      <w:pPr>
        <w:jc w:val="both"/>
      </w:pPr>
      <w:r>
        <w:t>Ostali nespomenuti rashodi poslovanja u tekućem razdoblju iznose 140,34 eura, a odnose se na troškove FINA certifikata i rashode protokola.</w:t>
      </w:r>
    </w:p>
    <w:p w14:paraId="4FE19C2D" w14:textId="77777777" w:rsidR="00AC6D4E" w:rsidRDefault="00AC6D4E"/>
    <w:p w14:paraId="1D313F78" w14:textId="77777777" w:rsidR="00AC6D4E" w:rsidRDefault="00000000">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6D4E" w14:paraId="422A0730" w14:textId="77777777">
        <w:trPr>
          <w:cantSplit/>
        </w:trPr>
        <w:tc>
          <w:tcPr>
            <w:tcW w:w="700" w:type="dxa"/>
            <w:shd w:val="clear" w:color="auto" w:fill="E7F0F9"/>
            <w:tcMar>
              <w:top w:w="0" w:type="dxa"/>
              <w:bottom w:w="0" w:type="dxa"/>
            </w:tcMar>
            <w:vAlign w:val="center"/>
          </w:tcPr>
          <w:p w14:paraId="055C9F43" w14:textId="77777777" w:rsidR="00AC6D4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567773" w14:textId="77777777" w:rsidR="00AC6D4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3153C4" w14:textId="77777777" w:rsidR="00AC6D4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6749A3" w14:textId="77777777" w:rsidR="00AC6D4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80DE56" w14:textId="77777777" w:rsidR="00AC6D4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DE6733" w14:textId="77777777" w:rsidR="00AC6D4E" w:rsidRDefault="00000000">
            <w:pPr>
              <w:keepNext/>
              <w:keepLines/>
              <w:spacing w:after="0" w:line="240" w:lineRule="auto"/>
              <w:jc w:val="center"/>
            </w:pPr>
            <w:r>
              <w:rPr>
                <w:b/>
                <w:sz w:val="18"/>
              </w:rPr>
              <w:t>Indeks (%)</w:t>
            </w:r>
          </w:p>
        </w:tc>
      </w:tr>
      <w:tr w:rsidR="00AC6D4E" w14:paraId="20DACB9D" w14:textId="77777777">
        <w:trPr>
          <w:cantSplit/>
          <w:trHeight w:val="560"/>
        </w:trPr>
        <w:tc>
          <w:tcPr>
            <w:tcW w:w="700" w:type="dxa"/>
            <w:tcMar>
              <w:top w:w="0" w:type="dxa"/>
              <w:bottom w:w="0" w:type="dxa"/>
            </w:tcMar>
            <w:vAlign w:val="center"/>
          </w:tcPr>
          <w:p w14:paraId="6162996C" w14:textId="77777777" w:rsidR="00AC6D4E" w:rsidRDefault="00000000">
            <w:pPr>
              <w:keepNext/>
              <w:keepLines/>
              <w:spacing w:after="0" w:line="240" w:lineRule="auto"/>
            </w:pPr>
            <w:r>
              <w:rPr>
                <w:sz w:val="18"/>
              </w:rPr>
              <w:t>3431</w:t>
            </w:r>
          </w:p>
        </w:tc>
        <w:tc>
          <w:tcPr>
            <w:tcW w:w="3180" w:type="dxa"/>
            <w:tcMar>
              <w:top w:w="0" w:type="dxa"/>
              <w:bottom w:w="0" w:type="dxa"/>
            </w:tcMar>
            <w:vAlign w:val="center"/>
          </w:tcPr>
          <w:p w14:paraId="1EA4AE09" w14:textId="77777777" w:rsidR="00AC6D4E" w:rsidRDefault="00000000">
            <w:pPr>
              <w:keepNext/>
              <w:keepLines/>
              <w:spacing w:after="0" w:line="240" w:lineRule="auto"/>
            </w:pPr>
            <w:r>
              <w:rPr>
                <w:sz w:val="18"/>
              </w:rPr>
              <w:t>Bankarske usluge i usluge platnog prometa</w:t>
            </w:r>
          </w:p>
        </w:tc>
        <w:tc>
          <w:tcPr>
            <w:tcW w:w="700" w:type="dxa"/>
            <w:tcMar>
              <w:top w:w="0" w:type="dxa"/>
              <w:bottom w:w="0" w:type="dxa"/>
            </w:tcMar>
            <w:vAlign w:val="center"/>
          </w:tcPr>
          <w:p w14:paraId="2EB55507" w14:textId="77777777" w:rsidR="00AC6D4E" w:rsidRDefault="00000000">
            <w:pPr>
              <w:keepNext/>
              <w:keepLines/>
              <w:spacing w:after="0" w:line="240" w:lineRule="auto"/>
            </w:pPr>
            <w:r>
              <w:rPr>
                <w:sz w:val="18"/>
              </w:rPr>
              <w:t>3431</w:t>
            </w:r>
          </w:p>
        </w:tc>
        <w:tc>
          <w:tcPr>
            <w:tcW w:w="1860" w:type="dxa"/>
            <w:tcMar>
              <w:top w:w="0" w:type="dxa"/>
              <w:bottom w:w="0" w:type="dxa"/>
            </w:tcMar>
            <w:vAlign w:val="center"/>
          </w:tcPr>
          <w:p w14:paraId="7D8BCB80" w14:textId="77777777" w:rsidR="00AC6D4E" w:rsidRDefault="00000000">
            <w:pPr>
              <w:keepNext/>
              <w:keepLines/>
              <w:spacing w:after="0" w:line="240" w:lineRule="auto"/>
              <w:jc w:val="right"/>
            </w:pPr>
            <w:r>
              <w:rPr>
                <w:sz w:val="18"/>
              </w:rPr>
              <w:t>170,19</w:t>
            </w:r>
          </w:p>
        </w:tc>
        <w:tc>
          <w:tcPr>
            <w:tcW w:w="1860" w:type="dxa"/>
            <w:tcMar>
              <w:top w:w="0" w:type="dxa"/>
              <w:bottom w:w="0" w:type="dxa"/>
            </w:tcMar>
            <w:vAlign w:val="center"/>
          </w:tcPr>
          <w:p w14:paraId="770AE528" w14:textId="77777777" w:rsidR="00AC6D4E" w:rsidRDefault="00000000">
            <w:pPr>
              <w:keepNext/>
              <w:keepLines/>
              <w:spacing w:after="0" w:line="240" w:lineRule="auto"/>
              <w:jc w:val="right"/>
            </w:pPr>
            <w:r>
              <w:rPr>
                <w:sz w:val="18"/>
              </w:rPr>
              <w:t>188,23</w:t>
            </w:r>
          </w:p>
        </w:tc>
        <w:tc>
          <w:tcPr>
            <w:tcW w:w="700" w:type="dxa"/>
            <w:tcMar>
              <w:top w:w="0" w:type="dxa"/>
              <w:bottom w:w="0" w:type="dxa"/>
            </w:tcMar>
            <w:vAlign w:val="center"/>
          </w:tcPr>
          <w:p w14:paraId="780632E1" w14:textId="77777777" w:rsidR="00AC6D4E" w:rsidRDefault="00000000">
            <w:pPr>
              <w:keepNext/>
              <w:keepLines/>
              <w:spacing w:after="0" w:line="240" w:lineRule="auto"/>
              <w:jc w:val="right"/>
            </w:pPr>
            <w:r>
              <w:rPr>
                <w:sz w:val="18"/>
              </w:rPr>
              <w:t>110,6</w:t>
            </w:r>
          </w:p>
        </w:tc>
      </w:tr>
    </w:tbl>
    <w:p w14:paraId="04C212D7" w14:textId="77777777" w:rsidR="00AC6D4E" w:rsidRDefault="00AC6D4E" w:rsidP="002D21C3">
      <w:pPr>
        <w:spacing w:after="0"/>
        <w:jc w:val="both"/>
      </w:pPr>
    </w:p>
    <w:p w14:paraId="24597C8D" w14:textId="77777777" w:rsidR="00AC6D4E" w:rsidRDefault="00000000" w:rsidP="002D21C3">
      <w:pPr>
        <w:jc w:val="both"/>
      </w:pPr>
      <w:r>
        <w:t>Bankarske usluge i usluge platnog prometa iznose 188,23 eura (+10,60% u odnosu na prethodno razdoblje). Rashod se odnosi na naknadu poslovne banke za korištenje navedenih usluga (ovisno o potrebnom obujmu korištenja usluga - uplate/isplate za potrebe blagajne i broj provedenih transakcija).</w:t>
      </w:r>
    </w:p>
    <w:p w14:paraId="180BFAC7" w14:textId="77777777" w:rsidR="00AC6D4E" w:rsidRDefault="00AC6D4E"/>
    <w:p w14:paraId="1EA057B2" w14:textId="77777777" w:rsidR="00AC6D4E"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6D4E" w14:paraId="7CA05E83" w14:textId="77777777">
        <w:trPr>
          <w:cantSplit/>
        </w:trPr>
        <w:tc>
          <w:tcPr>
            <w:tcW w:w="700" w:type="dxa"/>
            <w:shd w:val="clear" w:color="auto" w:fill="E7F0F9"/>
            <w:tcMar>
              <w:top w:w="0" w:type="dxa"/>
              <w:bottom w:w="0" w:type="dxa"/>
            </w:tcMar>
            <w:vAlign w:val="center"/>
          </w:tcPr>
          <w:p w14:paraId="0851125F" w14:textId="77777777" w:rsidR="00AC6D4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3A7DA9" w14:textId="77777777" w:rsidR="00AC6D4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F38A3F" w14:textId="77777777" w:rsidR="00AC6D4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0B6228" w14:textId="77777777" w:rsidR="00AC6D4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C19F7A" w14:textId="77777777" w:rsidR="00AC6D4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0FEA68" w14:textId="77777777" w:rsidR="00AC6D4E" w:rsidRDefault="00000000">
            <w:pPr>
              <w:keepNext/>
              <w:keepLines/>
              <w:spacing w:after="0" w:line="240" w:lineRule="auto"/>
              <w:jc w:val="center"/>
            </w:pPr>
            <w:r>
              <w:rPr>
                <w:b/>
                <w:sz w:val="18"/>
              </w:rPr>
              <w:t>Indeks (%)</w:t>
            </w:r>
          </w:p>
        </w:tc>
      </w:tr>
      <w:tr w:rsidR="00AC6D4E" w14:paraId="4EB8FDDB" w14:textId="77777777">
        <w:trPr>
          <w:cantSplit/>
          <w:trHeight w:val="560"/>
        </w:trPr>
        <w:tc>
          <w:tcPr>
            <w:tcW w:w="700" w:type="dxa"/>
            <w:tcMar>
              <w:top w:w="0" w:type="dxa"/>
              <w:bottom w:w="0" w:type="dxa"/>
            </w:tcMar>
            <w:vAlign w:val="center"/>
          </w:tcPr>
          <w:p w14:paraId="2F56B36A" w14:textId="77777777" w:rsidR="00AC6D4E" w:rsidRDefault="00000000">
            <w:pPr>
              <w:keepNext/>
              <w:keepLines/>
              <w:spacing w:after="0" w:line="240" w:lineRule="auto"/>
            </w:pPr>
            <w:r>
              <w:rPr>
                <w:sz w:val="18"/>
              </w:rPr>
              <w:t>3433</w:t>
            </w:r>
          </w:p>
        </w:tc>
        <w:tc>
          <w:tcPr>
            <w:tcW w:w="3180" w:type="dxa"/>
            <w:tcMar>
              <w:top w:w="0" w:type="dxa"/>
              <w:bottom w:w="0" w:type="dxa"/>
            </w:tcMar>
            <w:vAlign w:val="center"/>
          </w:tcPr>
          <w:p w14:paraId="2C2DABAC" w14:textId="77777777" w:rsidR="00AC6D4E" w:rsidRDefault="00000000">
            <w:pPr>
              <w:keepNext/>
              <w:keepLines/>
              <w:spacing w:after="0" w:line="240" w:lineRule="auto"/>
            </w:pPr>
            <w:r>
              <w:rPr>
                <w:sz w:val="18"/>
              </w:rPr>
              <w:t>Zatezne kamate</w:t>
            </w:r>
          </w:p>
        </w:tc>
        <w:tc>
          <w:tcPr>
            <w:tcW w:w="700" w:type="dxa"/>
            <w:tcMar>
              <w:top w:w="0" w:type="dxa"/>
              <w:bottom w:w="0" w:type="dxa"/>
            </w:tcMar>
            <w:vAlign w:val="center"/>
          </w:tcPr>
          <w:p w14:paraId="6F1FA7DE" w14:textId="77777777" w:rsidR="00AC6D4E" w:rsidRDefault="00000000">
            <w:pPr>
              <w:keepNext/>
              <w:keepLines/>
              <w:spacing w:after="0" w:line="240" w:lineRule="auto"/>
            </w:pPr>
            <w:r>
              <w:rPr>
                <w:sz w:val="18"/>
              </w:rPr>
              <w:t>3433</w:t>
            </w:r>
          </w:p>
        </w:tc>
        <w:tc>
          <w:tcPr>
            <w:tcW w:w="1860" w:type="dxa"/>
            <w:tcMar>
              <w:top w:w="0" w:type="dxa"/>
              <w:bottom w:w="0" w:type="dxa"/>
            </w:tcMar>
            <w:vAlign w:val="center"/>
          </w:tcPr>
          <w:p w14:paraId="2C77ED4E" w14:textId="77777777" w:rsidR="00AC6D4E" w:rsidRDefault="00000000">
            <w:pPr>
              <w:keepNext/>
              <w:keepLines/>
              <w:spacing w:after="0" w:line="240" w:lineRule="auto"/>
              <w:jc w:val="right"/>
            </w:pPr>
            <w:r>
              <w:rPr>
                <w:sz w:val="18"/>
              </w:rPr>
              <w:t>7,95</w:t>
            </w:r>
          </w:p>
        </w:tc>
        <w:tc>
          <w:tcPr>
            <w:tcW w:w="1860" w:type="dxa"/>
            <w:tcMar>
              <w:top w:w="0" w:type="dxa"/>
              <w:bottom w:w="0" w:type="dxa"/>
            </w:tcMar>
            <w:vAlign w:val="center"/>
          </w:tcPr>
          <w:p w14:paraId="0FD79458" w14:textId="77777777" w:rsidR="00AC6D4E" w:rsidRDefault="00000000">
            <w:pPr>
              <w:keepNext/>
              <w:keepLines/>
              <w:spacing w:after="0" w:line="240" w:lineRule="auto"/>
              <w:jc w:val="right"/>
            </w:pPr>
            <w:r>
              <w:rPr>
                <w:sz w:val="18"/>
              </w:rPr>
              <w:t>0,55</w:t>
            </w:r>
          </w:p>
        </w:tc>
        <w:tc>
          <w:tcPr>
            <w:tcW w:w="700" w:type="dxa"/>
            <w:tcMar>
              <w:top w:w="0" w:type="dxa"/>
              <w:bottom w:w="0" w:type="dxa"/>
            </w:tcMar>
            <w:vAlign w:val="center"/>
          </w:tcPr>
          <w:p w14:paraId="5C62A0A0" w14:textId="77777777" w:rsidR="00AC6D4E" w:rsidRDefault="00000000">
            <w:pPr>
              <w:keepNext/>
              <w:keepLines/>
              <w:spacing w:after="0" w:line="240" w:lineRule="auto"/>
              <w:jc w:val="right"/>
            </w:pPr>
            <w:r>
              <w:rPr>
                <w:sz w:val="18"/>
              </w:rPr>
              <w:t>6,9</w:t>
            </w:r>
          </w:p>
        </w:tc>
      </w:tr>
    </w:tbl>
    <w:p w14:paraId="29EF8B55" w14:textId="77777777" w:rsidR="00AC6D4E" w:rsidRDefault="00AC6D4E">
      <w:pPr>
        <w:spacing w:after="0"/>
      </w:pPr>
    </w:p>
    <w:p w14:paraId="65C10E5F" w14:textId="77777777" w:rsidR="00AC6D4E" w:rsidRDefault="00000000" w:rsidP="002D21C3">
      <w:pPr>
        <w:jc w:val="both"/>
      </w:pPr>
      <w:r>
        <w:t>Evidentirane su zatezne kamate u izvještajnom razdoblju u iznosu od 0,55 eura. Navedeno se odnosi na zatezne kamate iz redovnih poslovnih odnosa, vezane za kašnjenje pri plaćanju faktura dobavljača. Manji iznos zateznih kamata je rezultat brže dinamike plaćanja zaprimljenih ulaznih računa.</w:t>
      </w:r>
    </w:p>
    <w:p w14:paraId="3A515231" w14:textId="77777777" w:rsidR="00AC6D4E" w:rsidRDefault="00AC6D4E"/>
    <w:p w14:paraId="5CCAE90E" w14:textId="77777777" w:rsidR="00AC6D4E"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6D4E" w14:paraId="7FAFC04B" w14:textId="77777777">
        <w:trPr>
          <w:cantSplit/>
        </w:trPr>
        <w:tc>
          <w:tcPr>
            <w:tcW w:w="700" w:type="dxa"/>
            <w:shd w:val="clear" w:color="auto" w:fill="E7F0F9"/>
            <w:tcMar>
              <w:top w:w="0" w:type="dxa"/>
              <w:bottom w:w="0" w:type="dxa"/>
            </w:tcMar>
            <w:vAlign w:val="center"/>
          </w:tcPr>
          <w:p w14:paraId="6F5BB452" w14:textId="77777777" w:rsidR="00AC6D4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219FC2" w14:textId="77777777" w:rsidR="00AC6D4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FA9398" w14:textId="77777777" w:rsidR="00AC6D4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FCF7F3" w14:textId="77777777" w:rsidR="00AC6D4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EC0F4ED" w14:textId="77777777" w:rsidR="00AC6D4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810528" w14:textId="77777777" w:rsidR="00AC6D4E" w:rsidRDefault="00000000">
            <w:pPr>
              <w:keepNext/>
              <w:keepLines/>
              <w:spacing w:after="0" w:line="240" w:lineRule="auto"/>
              <w:jc w:val="center"/>
            </w:pPr>
            <w:r>
              <w:rPr>
                <w:b/>
                <w:sz w:val="18"/>
              </w:rPr>
              <w:t>Indeks (%)</w:t>
            </w:r>
          </w:p>
        </w:tc>
      </w:tr>
      <w:tr w:rsidR="00AC6D4E" w14:paraId="27DA15AC" w14:textId="77777777">
        <w:trPr>
          <w:cantSplit/>
          <w:trHeight w:val="560"/>
        </w:trPr>
        <w:tc>
          <w:tcPr>
            <w:tcW w:w="700" w:type="dxa"/>
            <w:tcMar>
              <w:top w:w="0" w:type="dxa"/>
              <w:bottom w:w="0" w:type="dxa"/>
            </w:tcMar>
            <w:vAlign w:val="center"/>
          </w:tcPr>
          <w:p w14:paraId="14710B9D" w14:textId="77777777" w:rsidR="00AC6D4E" w:rsidRDefault="00000000">
            <w:pPr>
              <w:keepNext/>
              <w:keepLines/>
              <w:spacing w:after="0" w:line="240" w:lineRule="auto"/>
            </w:pPr>
            <w:r>
              <w:rPr>
                <w:sz w:val="18"/>
              </w:rPr>
              <w:t>3691</w:t>
            </w:r>
          </w:p>
        </w:tc>
        <w:tc>
          <w:tcPr>
            <w:tcW w:w="3180" w:type="dxa"/>
            <w:tcMar>
              <w:top w:w="0" w:type="dxa"/>
              <w:bottom w:w="0" w:type="dxa"/>
            </w:tcMar>
            <w:vAlign w:val="center"/>
          </w:tcPr>
          <w:p w14:paraId="4FD73E02" w14:textId="77777777" w:rsidR="00AC6D4E" w:rsidRDefault="00000000">
            <w:pPr>
              <w:keepNext/>
              <w:keepLines/>
              <w:spacing w:after="0" w:line="240" w:lineRule="auto"/>
            </w:pPr>
            <w:r>
              <w:rPr>
                <w:sz w:val="18"/>
              </w:rPr>
              <w:t>Tekući prijenosi između proračunskih korisnika istog proračuna</w:t>
            </w:r>
          </w:p>
        </w:tc>
        <w:tc>
          <w:tcPr>
            <w:tcW w:w="700" w:type="dxa"/>
            <w:tcMar>
              <w:top w:w="0" w:type="dxa"/>
              <w:bottom w:w="0" w:type="dxa"/>
            </w:tcMar>
            <w:vAlign w:val="center"/>
          </w:tcPr>
          <w:p w14:paraId="0F72A081" w14:textId="77777777" w:rsidR="00AC6D4E" w:rsidRDefault="00000000">
            <w:pPr>
              <w:keepNext/>
              <w:keepLines/>
              <w:spacing w:after="0" w:line="240" w:lineRule="auto"/>
            </w:pPr>
            <w:r>
              <w:rPr>
                <w:sz w:val="18"/>
              </w:rPr>
              <w:t>3691</w:t>
            </w:r>
          </w:p>
        </w:tc>
        <w:tc>
          <w:tcPr>
            <w:tcW w:w="1860" w:type="dxa"/>
            <w:tcMar>
              <w:top w:w="0" w:type="dxa"/>
              <w:bottom w:w="0" w:type="dxa"/>
            </w:tcMar>
            <w:vAlign w:val="center"/>
          </w:tcPr>
          <w:p w14:paraId="3B843D2B" w14:textId="77777777" w:rsidR="00AC6D4E" w:rsidRDefault="00000000">
            <w:pPr>
              <w:keepNext/>
              <w:keepLines/>
              <w:spacing w:after="0" w:line="240" w:lineRule="auto"/>
              <w:jc w:val="right"/>
            </w:pPr>
            <w:r>
              <w:rPr>
                <w:sz w:val="18"/>
              </w:rPr>
              <w:t>500,00</w:t>
            </w:r>
          </w:p>
        </w:tc>
        <w:tc>
          <w:tcPr>
            <w:tcW w:w="1860" w:type="dxa"/>
            <w:tcMar>
              <w:top w:w="0" w:type="dxa"/>
              <w:bottom w:w="0" w:type="dxa"/>
            </w:tcMar>
            <w:vAlign w:val="center"/>
          </w:tcPr>
          <w:p w14:paraId="5B2B7F53" w14:textId="77777777" w:rsidR="00AC6D4E" w:rsidRDefault="00000000">
            <w:pPr>
              <w:keepNext/>
              <w:keepLines/>
              <w:spacing w:after="0" w:line="240" w:lineRule="auto"/>
              <w:jc w:val="right"/>
            </w:pPr>
            <w:r>
              <w:rPr>
                <w:sz w:val="18"/>
              </w:rPr>
              <w:t>477,42</w:t>
            </w:r>
          </w:p>
        </w:tc>
        <w:tc>
          <w:tcPr>
            <w:tcW w:w="700" w:type="dxa"/>
            <w:tcMar>
              <w:top w:w="0" w:type="dxa"/>
              <w:bottom w:w="0" w:type="dxa"/>
            </w:tcMar>
            <w:vAlign w:val="center"/>
          </w:tcPr>
          <w:p w14:paraId="2EC071CA" w14:textId="77777777" w:rsidR="00AC6D4E" w:rsidRDefault="00000000">
            <w:pPr>
              <w:keepNext/>
              <w:keepLines/>
              <w:spacing w:after="0" w:line="240" w:lineRule="auto"/>
              <w:jc w:val="right"/>
            </w:pPr>
            <w:r>
              <w:rPr>
                <w:sz w:val="18"/>
              </w:rPr>
              <w:t>95,5</w:t>
            </w:r>
          </w:p>
        </w:tc>
      </w:tr>
    </w:tbl>
    <w:p w14:paraId="747E1F4E" w14:textId="77777777" w:rsidR="00AC6D4E" w:rsidRDefault="00AC6D4E">
      <w:pPr>
        <w:spacing w:after="0"/>
      </w:pPr>
    </w:p>
    <w:p w14:paraId="2583D98A" w14:textId="77777777" w:rsidR="00AC6D4E" w:rsidRDefault="00000000" w:rsidP="002D21C3">
      <w:pPr>
        <w:jc w:val="both"/>
      </w:pPr>
      <w:r>
        <w:t>Tekući prijenosi između proračunskih korisnika se odnose na uplatu zaprimljenih participacija za trošak smještaja korisnika u Državni proračun, u ukupnom iznosu od 477,42 eura (iznos je jednak prihodima ŠIFRA 6526, budući da su svi zaprimljeni prihodi uplaćeni u Državni proračun). Zaprimljeni iznos participacija je rezultat uplata od obveznika plaćanja participacije na žiro račun ustanove.</w:t>
      </w:r>
    </w:p>
    <w:p w14:paraId="4E3D53AE" w14:textId="77777777" w:rsidR="00AC6D4E" w:rsidRDefault="00AC6D4E"/>
    <w:p w14:paraId="21C01E2B" w14:textId="77777777" w:rsidR="00AC6D4E" w:rsidRDefault="00000000">
      <w:pPr>
        <w:keepNext/>
        <w:spacing w:line="240" w:lineRule="auto"/>
        <w:jc w:val="center"/>
      </w:pPr>
      <w:r>
        <w:rPr>
          <w:sz w:val="28"/>
        </w:rPr>
        <w:lastRenderedPageBreak/>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6D4E" w14:paraId="425D6C6A" w14:textId="77777777">
        <w:trPr>
          <w:cantSplit/>
        </w:trPr>
        <w:tc>
          <w:tcPr>
            <w:tcW w:w="700" w:type="dxa"/>
            <w:shd w:val="clear" w:color="auto" w:fill="E7F0F9"/>
            <w:tcMar>
              <w:top w:w="0" w:type="dxa"/>
              <w:bottom w:w="0" w:type="dxa"/>
            </w:tcMar>
            <w:vAlign w:val="center"/>
          </w:tcPr>
          <w:p w14:paraId="625216EF" w14:textId="77777777" w:rsidR="00AC6D4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46BB53" w14:textId="77777777" w:rsidR="00AC6D4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8D133A" w14:textId="77777777" w:rsidR="00AC6D4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277B21" w14:textId="77777777" w:rsidR="00AC6D4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AB707D" w14:textId="77777777" w:rsidR="00AC6D4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073A89" w14:textId="77777777" w:rsidR="00AC6D4E" w:rsidRDefault="00000000">
            <w:pPr>
              <w:keepNext/>
              <w:keepLines/>
              <w:spacing w:after="0" w:line="240" w:lineRule="auto"/>
              <w:jc w:val="center"/>
            </w:pPr>
            <w:r>
              <w:rPr>
                <w:b/>
                <w:sz w:val="18"/>
              </w:rPr>
              <w:t>Indeks (%)</w:t>
            </w:r>
          </w:p>
        </w:tc>
      </w:tr>
      <w:tr w:rsidR="00AC6D4E" w14:paraId="481EC0F3" w14:textId="77777777">
        <w:trPr>
          <w:cantSplit/>
          <w:trHeight w:val="560"/>
        </w:trPr>
        <w:tc>
          <w:tcPr>
            <w:tcW w:w="700" w:type="dxa"/>
            <w:tcMar>
              <w:top w:w="0" w:type="dxa"/>
              <w:bottom w:w="0" w:type="dxa"/>
            </w:tcMar>
            <w:vAlign w:val="center"/>
          </w:tcPr>
          <w:p w14:paraId="151505C3" w14:textId="77777777" w:rsidR="00AC6D4E" w:rsidRDefault="00000000">
            <w:pPr>
              <w:keepNext/>
              <w:keepLines/>
              <w:spacing w:after="0" w:line="240" w:lineRule="auto"/>
            </w:pPr>
            <w:r>
              <w:rPr>
                <w:sz w:val="18"/>
              </w:rPr>
              <w:t>3721</w:t>
            </w:r>
          </w:p>
        </w:tc>
        <w:tc>
          <w:tcPr>
            <w:tcW w:w="3180" w:type="dxa"/>
            <w:tcMar>
              <w:top w:w="0" w:type="dxa"/>
              <w:bottom w:w="0" w:type="dxa"/>
            </w:tcMar>
            <w:vAlign w:val="center"/>
          </w:tcPr>
          <w:p w14:paraId="628AC8DA" w14:textId="77777777" w:rsidR="00AC6D4E" w:rsidRDefault="00000000">
            <w:pPr>
              <w:keepNext/>
              <w:keepLines/>
              <w:spacing w:after="0" w:line="240" w:lineRule="auto"/>
            </w:pPr>
            <w:r>
              <w:rPr>
                <w:sz w:val="18"/>
              </w:rPr>
              <w:t>Naknade građanima i kućanstvima u novcu</w:t>
            </w:r>
          </w:p>
        </w:tc>
        <w:tc>
          <w:tcPr>
            <w:tcW w:w="700" w:type="dxa"/>
            <w:tcMar>
              <w:top w:w="0" w:type="dxa"/>
              <w:bottom w:w="0" w:type="dxa"/>
            </w:tcMar>
            <w:vAlign w:val="center"/>
          </w:tcPr>
          <w:p w14:paraId="01484A30" w14:textId="77777777" w:rsidR="00AC6D4E" w:rsidRDefault="00000000">
            <w:pPr>
              <w:keepNext/>
              <w:keepLines/>
              <w:spacing w:after="0" w:line="240" w:lineRule="auto"/>
            </w:pPr>
            <w:r>
              <w:rPr>
                <w:sz w:val="18"/>
              </w:rPr>
              <w:t>3721</w:t>
            </w:r>
          </w:p>
        </w:tc>
        <w:tc>
          <w:tcPr>
            <w:tcW w:w="1860" w:type="dxa"/>
            <w:tcMar>
              <w:top w:w="0" w:type="dxa"/>
              <w:bottom w:w="0" w:type="dxa"/>
            </w:tcMar>
            <w:vAlign w:val="center"/>
          </w:tcPr>
          <w:p w14:paraId="4D52B1A2" w14:textId="77777777" w:rsidR="00AC6D4E" w:rsidRDefault="00000000">
            <w:pPr>
              <w:keepNext/>
              <w:keepLines/>
              <w:spacing w:after="0" w:line="240" w:lineRule="auto"/>
              <w:jc w:val="right"/>
            </w:pPr>
            <w:r>
              <w:rPr>
                <w:sz w:val="18"/>
              </w:rPr>
              <w:t>2.179,96</w:t>
            </w:r>
          </w:p>
        </w:tc>
        <w:tc>
          <w:tcPr>
            <w:tcW w:w="1860" w:type="dxa"/>
            <w:tcMar>
              <w:top w:w="0" w:type="dxa"/>
              <w:bottom w:w="0" w:type="dxa"/>
            </w:tcMar>
            <w:vAlign w:val="center"/>
          </w:tcPr>
          <w:p w14:paraId="78757568" w14:textId="77777777" w:rsidR="00AC6D4E" w:rsidRDefault="00000000">
            <w:pPr>
              <w:keepNext/>
              <w:keepLines/>
              <w:spacing w:after="0" w:line="240" w:lineRule="auto"/>
              <w:jc w:val="right"/>
            </w:pPr>
            <w:r>
              <w:rPr>
                <w:sz w:val="18"/>
              </w:rPr>
              <w:t>3.026,23</w:t>
            </w:r>
          </w:p>
        </w:tc>
        <w:tc>
          <w:tcPr>
            <w:tcW w:w="700" w:type="dxa"/>
            <w:tcMar>
              <w:top w:w="0" w:type="dxa"/>
              <w:bottom w:w="0" w:type="dxa"/>
            </w:tcMar>
            <w:vAlign w:val="center"/>
          </w:tcPr>
          <w:p w14:paraId="4D260F1E" w14:textId="77777777" w:rsidR="00AC6D4E" w:rsidRDefault="00000000">
            <w:pPr>
              <w:keepNext/>
              <w:keepLines/>
              <w:spacing w:after="0" w:line="240" w:lineRule="auto"/>
              <w:jc w:val="right"/>
            </w:pPr>
            <w:r>
              <w:rPr>
                <w:sz w:val="18"/>
              </w:rPr>
              <w:t>138,8</w:t>
            </w:r>
          </w:p>
        </w:tc>
      </w:tr>
    </w:tbl>
    <w:p w14:paraId="5EDCF5F4" w14:textId="77777777" w:rsidR="00AC6D4E" w:rsidRDefault="00AC6D4E" w:rsidP="002D21C3">
      <w:pPr>
        <w:spacing w:after="0"/>
        <w:jc w:val="both"/>
      </w:pPr>
    </w:p>
    <w:p w14:paraId="5DD47D03" w14:textId="77777777" w:rsidR="00AC6D4E" w:rsidRDefault="00000000" w:rsidP="002D21C3">
      <w:pPr>
        <w:jc w:val="both"/>
      </w:pPr>
      <w:r>
        <w:t>Naknade građanima i kućanstvima u novcu u izvještajnom razdoblju iznose 3.026,23 eura (+38,80%). Navedeno je rezultat potrebe Ustanove za većom isplatom naknada za osobne potrebe korisnika (džeparca), sukladno zaprimljenim Rješenjima nadležnih područnih ureda HZSR-a, ali i veće osnovice za isplatu ostalih naknada u socijalnoj skrbi.</w:t>
      </w:r>
    </w:p>
    <w:p w14:paraId="3BCCC118" w14:textId="77777777" w:rsidR="00AC6D4E" w:rsidRDefault="00AC6D4E"/>
    <w:p w14:paraId="391889DD" w14:textId="77777777" w:rsidR="00AC6D4E"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6D4E" w14:paraId="0D06E68E" w14:textId="77777777">
        <w:trPr>
          <w:cantSplit/>
        </w:trPr>
        <w:tc>
          <w:tcPr>
            <w:tcW w:w="700" w:type="dxa"/>
            <w:shd w:val="clear" w:color="auto" w:fill="E7F0F9"/>
            <w:tcMar>
              <w:top w:w="0" w:type="dxa"/>
              <w:bottom w:w="0" w:type="dxa"/>
            </w:tcMar>
            <w:vAlign w:val="center"/>
          </w:tcPr>
          <w:p w14:paraId="7D6DBC72" w14:textId="77777777" w:rsidR="00AC6D4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E36775" w14:textId="77777777" w:rsidR="00AC6D4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04F20F" w14:textId="77777777" w:rsidR="00AC6D4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C6FB58" w14:textId="77777777" w:rsidR="00AC6D4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A54D44" w14:textId="77777777" w:rsidR="00AC6D4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91EB91" w14:textId="77777777" w:rsidR="00AC6D4E" w:rsidRDefault="00000000">
            <w:pPr>
              <w:keepNext/>
              <w:keepLines/>
              <w:spacing w:after="0" w:line="240" w:lineRule="auto"/>
              <w:jc w:val="center"/>
            </w:pPr>
            <w:r>
              <w:rPr>
                <w:b/>
                <w:sz w:val="18"/>
              </w:rPr>
              <w:t>Indeks (%)</w:t>
            </w:r>
          </w:p>
        </w:tc>
      </w:tr>
      <w:tr w:rsidR="00AC6D4E" w14:paraId="405C57BD" w14:textId="77777777">
        <w:trPr>
          <w:cantSplit/>
          <w:trHeight w:val="560"/>
        </w:trPr>
        <w:tc>
          <w:tcPr>
            <w:tcW w:w="700" w:type="dxa"/>
            <w:tcMar>
              <w:top w:w="0" w:type="dxa"/>
              <w:bottom w:w="0" w:type="dxa"/>
            </w:tcMar>
            <w:vAlign w:val="center"/>
          </w:tcPr>
          <w:p w14:paraId="5CC796FF" w14:textId="77777777" w:rsidR="00AC6D4E" w:rsidRDefault="00000000">
            <w:pPr>
              <w:keepNext/>
              <w:keepLines/>
              <w:spacing w:after="0" w:line="240" w:lineRule="auto"/>
            </w:pPr>
            <w:r>
              <w:rPr>
                <w:sz w:val="18"/>
              </w:rPr>
              <w:t>3722</w:t>
            </w:r>
          </w:p>
        </w:tc>
        <w:tc>
          <w:tcPr>
            <w:tcW w:w="3180" w:type="dxa"/>
            <w:tcMar>
              <w:top w:w="0" w:type="dxa"/>
              <w:bottom w:w="0" w:type="dxa"/>
            </w:tcMar>
            <w:vAlign w:val="center"/>
          </w:tcPr>
          <w:p w14:paraId="6FF8A46D" w14:textId="77777777" w:rsidR="00AC6D4E" w:rsidRDefault="00000000">
            <w:pPr>
              <w:keepNext/>
              <w:keepLines/>
              <w:spacing w:after="0" w:line="240" w:lineRule="auto"/>
            </w:pPr>
            <w:r>
              <w:rPr>
                <w:sz w:val="18"/>
              </w:rPr>
              <w:t>Naknade građanima i kućanstvima u naravi</w:t>
            </w:r>
          </w:p>
        </w:tc>
        <w:tc>
          <w:tcPr>
            <w:tcW w:w="700" w:type="dxa"/>
            <w:tcMar>
              <w:top w:w="0" w:type="dxa"/>
              <w:bottom w:w="0" w:type="dxa"/>
            </w:tcMar>
            <w:vAlign w:val="center"/>
          </w:tcPr>
          <w:p w14:paraId="30C8EA1A" w14:textId="77777777" w:rsidR="00AC6D4E" w:rsidRDefault="00000000">
            <w:pPr>
              <w:keepNext/>
              <w:keepLines/>
              <w:spacing w:after="0" w:line="240" w:lineRule="auto"/>
            </w:pPr>
            <w:r>
              <w:rPr>
                <w:sz w:val="18"/>
              </w:rPr>
              <w:t>3722</w:t>
            </w:r>
          </w:p>
        </w:tc>
        <w:tc>
          <w:tcPr>
            <w:tcW w:w="1860" w:type="dxa"/>
            <w:tcMar>
              <w:top w:w="0" w:type="dxa"/>
              <w:bottom w:w="0" w:type="dxa"/>
            </w:tcMar>
            <w:vAlign w:val="center"/>
          </w:tcPr>
          <w:p w14:paraId="26C9AEB4" w14:textId="77777777" w:rsidR="00AC6D4E" w:rsidRDefault="00000000">
            <w:pPr>
              <w:keepNext/>
              <w:keepLines/>
              <w:spacing w:after="0" w:line="240" w:lineRule="auto"/>
              <w:jc w:val="right"/>
            </w:pPr>
            <w:r>
              <w:rPr>
                <w:sz w:val="18"/>
              </w:rPr>
              <w:t>753,95</w:t>
            </w:r>
          </w:p>
        </w:tc>
        <w:tc>
          <w:tcPr>
            <w:tcW w:w="1860" w:type="dxa"/>
            <w:tcMar>
              <w:top w:w="0" w:type="dxa"/>
              <w:bottom w:w="0" w:type="dxa"/>
            </w:tcMar>
            <w:vAlign w:val="center"/>
          </w:tcPr>
          <w:p w14:paraId="223FFF44" w14:textId="77777777" w:rsidR="00AC6D4E" w:rsidRDefault="00000000">
            <w:pPr>
              <w:keepNext/>
              <w:keepLines/>
              <w:spacing w:after="0" w:line="240" w:lineRule="auto"/>
              <w:jc w:val="right"/>
            </w:pPr>
            <w:r>
              <w:rPr>
                <w:sz w:val="18"/>
              </w:rPr>
              <w:t>1.131,30</w:t>
            </w:r>
          </w:p>
        </w:tc>
        <w:tc>
          <w:tcPr>
            <w:tcW w:w="700" w:type="dxa"/>
            <w:tcMar>
              <w:top w:w="0" w:type="dxa"/>
              <w:bottom w:w="0" w:type="dxa"/>
            </w:tcMar>
            <w:vAlign w:val="center"/>
          </w:tcPr>
          <w:p w14:paraId="0C309F4F" w14:textId="77777777" w:rsidR="00AC6D4E" w:rsidRDefault="00000000">
            <w:pPr>
              <w:keepNext/>
              <w:keepLines/>
              <w:spacing w:after="0" w:line="240" w:lineRule="auto"/>
              <w:jc w:val="right"/>
            </w:pPr>
            <w:r>
              <w:rPr>
                <w:sz w:val="18"/>
              </w:rPr>
              <w:t>150,0</w:t>
            </w:r>
          </w:p>
        </w:tc>
      </w:tr>
    </w:tbl>
    <w:p w14:paraId="319ED6C9" w14:textId="77777777" w:rsidR="00AC6D4E" w:rsidRDefault="00AC6D4E">
      <w:pPr>
        <w:spacing w:after="0"/>
      </w:pPr>
    </w:p>
    <w:p w14:paraId="35A2B0CA" w14:textId="77777777" w:rsidR="00AC6D4E" w:rsidRDefault="00000000" w:rsidP="002D21C3">
      <w:pPr>
        <w:jc w:val="both"/>
      </w:pPr>
      <w:r>
        <w:t>Iznos od 1.131,30 eura u tekućem izvještajnom razdoblju se odnosi na plaćene izlete, ljetovanja i ostale naknade korisnicima Ustanove u naravi. Navedeno povećanje je rezultat većih cijena usluga i potreba Ustanove za organizirane izlete (veći broj izleta nego u usporednom razdoblju prošle godine).</w:t>
      </w:r>
    </w:p>
    <w:p w14:paraId="3D651212" w14:textId="77777777" w:rsidR="00AC6D4E" w:rsidRDefault="00AC6D4E"/>
    <w:p w14:paraId="69730A76" w14:textId="77777777" w:rsidR="00AC6D4E"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6D4E" w14:paraId="2C511A33" w14:textId="77777777">
        <w:trPr>
          <w:cantSplit/>
        </w:trPr>
        <w:tc>
          <w:tcPr>
            <w:tcW w:w="700" w:type="dxa"/>
            <w:shd w:val="clear" w:color="auto" w:fill="E7F0F9"/>
            <w:tcMar>
              <w:top w:w="0" w:type="dxa"/>
              <w:bottom w:w="0" w:type="dxa"/>
            </w:tcMar>
            <w:vAlign w:val="center"/>
          </w:tcPr>
          <w:p w14:paraId="7D654D78" w14:textId="77777777" w:rsidR="00AC6D4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59F76B" w14:textId="77777777" w:rsidR="00AC6D4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75A368" w14:textId="77777777" w:rsidR="00AC6D4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0A96F5" w14:textId="77777777" w:rsidR="00AC6D4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4E2E77" w14:textId="77777777" w:rsidR="00AC6D4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594FA3" w14:textId="77777777" w:rsidR="00AC6D4E" w:rsidRDefault="00000000">
            <w:pPr>
              <w:keepNext/>
              <w:keepLines/>
              <w:spacing w:after="0" w:line="240" w:lineRule="auto"/>
              <w:jc w:val="center"/>
            </w:pPr>
            <w:r>
              <w:rPr>
                <w:b/>
                <w:sz w:val="18"/>
              </w:rPr>
              <w:t>Indeks (%)</w:t>
            </w:r>
          </w:p>
        </w:tc>
      </w:tr>
      <w:tr w:rsidR="00AC6D4E" w14:paraId="0803CA92" w14:textId="77777777">
        <w:trPr>
          <w:cantSplit/>
          <w:trHeight w:val="560"/>
        </w:trPr>
        <w:tc>
          <w:tcPr>
            <w:tcW w:w="700" w:type="dxa"/>
            <w:tcMar>
              <w:top w:w="0" w:type="dxa"/>
              <w:bottom w:w="0" w:type="dxa"/>
            </w:tcMar>
            <w:vAlign w:val="center"/>
          </w:tcPr>
          <w:p w14:paraId="3E66E547" w14:textId="77777777" w:rsidR="00AC6D4E" w:rsidRDefault="00AC6D4E">
            <w:pPr>
              <w:keepNext/>
              <w:keepLines/>
              <w:spacing w:after="0" w:line="240" w:lineRule="auto"/>
            </w:pPr>
          </w:p>
        </w:tc>
        <w:tc>
          <w:tcPr>
            <w:tcW w:w="3180" w:type="dxa"/>
            <w:tcMar>
              <w:top w:w="0" w:type="dxa"/>
              <w:bottom w:w="0" w:type="dxa"/>
            </w:tcMar>
            <w:vAlign w:val="center"/>
          </w:tcPr>
          <w:p w14:paraId="0C76AAF7" w14:textId="77777777" w:rsidR="00AC6D4E" w:rsidRDefault="00000000">
            <w:pPr>
              <w:keepNext/>
              <w:keepLines/>
              <w:spacing w:after="0" w:line="240" w:lineRule="auto"/>
            </w:pPr>
            <w:r>
              <w:rPr>
                <w:sz w:val="18"/>
              </w:rPr>
              <w:t>VIŠAK PRIHODA I PRIMITAKA (šifre X678-Y345)</w:t>
            </w:r>
          </w:p>
        </w:tc>
        <w:tc>
          <w:tcPr>
            <w:tcW w:w="700" w:type="dxa"/>
            <w:tcMar>
              <w:top w:w="0" w:type="dxa"/>
              <w:bottom w:w="0" w:type="dxa"/>
            </w:tcMar>
            <w:vAlign w:val="center"/>
          </w:tcPr>
          <w:p w14:paraId="3F8974DC" w14:textId="77777777" w:rsidR="00AC6D4E" w:rsidRDefault="00000000">
            <w:pPr>
              <w:keepNext/>
              <w:keepLines/>
              <w:spacing w:after="0" w:line="240" w:lineRule="auto"/>
            </w:pPr>
            <w:r>
              <w:rPr>
                <w:sz w:val="18"/>
              </w:rPr>
              <w:t>X005</w:t>
            </w:r>
          </w:p>
        </w:tc>
        <w:tc>
          <w:tcPr>
            <w:tcW w:w="1860" w:type="dxa"/>
            <w:tcMar>
              <w:top w:w="0" w:type="dxa"/>
              <w:bottom w:w="0" w:type="dxa"/>
            </w:tcMar>
            <w:vAlign w:val="center"/>
          </w:tcPr>
          <w:p w14:paraId="1754FF6E" w14:textId="77777777" w:rsidR="00AC6D4E" w:rsidRDefault="00000000">
            <w:pPr>
              <w:keepNext/>
              <w:keepLines/>
              <w:spacing w:after="0" w:line="240" w:lineRule="auto"/>
              <w:jc w:val="right"/>
            </w:pPr>
            <w:r>
              <w:rPr>
                <w:sz w:val="18"/>
              </w:rPr>
              <w:t>0,00</w:t>
            </w:r>
          </w:p>
        </w:tc>
        <w:tc>
          <w:tcPr>
            <w:tcW w:w="1860" w:type="dxa"/>
            <w:tcMar>
              <w:top w:w="0" w:type="dxa"/>
              <w:bottom w:w="0" w:type="dxa"/>
            </w:tcMar>
            <w:vAlign w:val="center"/>
          </w:tcPr>
          <w:p w14:paraId="32D7DAD4" w14:textId="77777777" w:rsidR="00AC6D4E" w:rsidRDefault="00000000">
            <w:pPr>
              <w:keepNext/>
              <w:keepLines/>
              <w:spacing w:after="0" w:line="240" w:lineRule="auto"/>
              <w:jc w:val="right"/>
            </w:pPr>
            <w:r>
              <w:rPr>
                <w:sz w:val="18"/>
              </w:rPr>
              <w:t>5.633,86</w:t>
            </w:r>
          </w:p>
        </w:tc>
        <w:tc>
          <w:tcPr>
            <w:tcW w:w="700" w:type="dxa"/>
            <w:tcMar>
              <w:top w:w="0" w:type="dxa"/>
              <w:bottom w:w="0" w:type="dxa"/>
            </w:tcMar>
            <w:vAlign w:val="center"/>
          </w:tcPr>
          <w:p w14:paraId="1DF2D5E1" w14:textId="77777777" w:rsidR="00AC6D4E" w:rsidRDefault="00000000">
            <w:pPr>
              <w:keepNext/>
              <w:keepLines/>
              <w:spacing w:after="0" w:line="240" w:lineRule="auto"/>
              <w:jc w:val="right"/>
            </w:pPr>
            <w:r>
              <w:rPr>
                <w:sz w:val="18"/>
              </w:rPr>
              <w:t>-</w:t>
            </w:r>
          </w:p>
        </w:tc>
      </w:tr>
    </w:tbl>
    <w:p w14:paraId="147EEE80" w14:textId="77777777" w:rsidR="00AC6D4E" w:rsidRDefault="00AC6D4E">
      <w:pPr>
        <w:spacing w:after="0"/>
      </w:pPr>
    </w:p>
    <w:p w14:paraId="64906576" w14:textId="77777777" w:rsidR="00AC6D4E" w:rsidRDefault="00000000" w:rsidP="002D21C3">
      <w:pPr>
        <w:jc w:val="both"/>
      </w:pPr>
      <w:r>
        <w:t>Iskazan je višak prihoda i primitaka od 5.633,86 eura, koji se zbraja s prenesenim viškom prihoda i primitaka iz 2025. godine, te se dobiva višak i prihoda i primitaka koji je raspoloživ u razdoblju nakon 31.3.2026. godine.</w:t>
      </w:r>
    </w:p>
    <w:p w14:paraId="12914C37" w14:textId="77777777" w:rsidR="00AC6D4E" w:rsidRDefault="00AC6D4E"/>
    <w:p w14:paraId="6B25A67B" w14:textId="77777777" w:rsidR="00AC6D4E"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6D4E" w14:paraId="209F7F66" w14:textId="77777777">
        <w:trPr>
          <w:cantSplit/>
        </w:trPr>
        <w:tc>
          <w:tcPr>
            <w:tcW w:w="700" w:type="dxa"/>
            <w:shd w:val="clear" w:color="auto" w:fill="E7F0F9"/>
            <w:tcMar>
              <w:top w:w="0" w:type="dxa"/>
              <w:bottom w:w="0" w:type="dxa"/>
            </w:tcMar>
            <w:vAlign w:val="center"/>
          </w:tcPr>
          <w:p w14:paraId="1E70A7FC" w14:textId="77777777" w:rsidR="00AC6D4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E92637" w14:textId="77777777" w:rsidR="00AC6D4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6C0A9C" w14:textId="77777777" w:rsidR="00AC6D4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DFDB76" w14:textId="77777777" w:rsidR="00AC6D4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F32112" w14:textId="77777777" w:rsidR="00AC6D4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489C42" w14:textId="77777777" w:rsidR="00AC6D4E" w:rsidRDefault="00000000">
            <w:pPr>
              <w:keepNext/>
              <w:keepLines/>
              <w:spacing w:after="0" w:line="240" w:lineRule="auto"/>
              <w:jc w:val="center"/>
            </w:pPr>
            <w:r>
              <w:rPr>
                <w:b/>
                <w:sz w:val="18"/>
              </w:rPr>
              <w:t>Indeks (%)</w:t>
            </w:r>
          </w:p>
        </w:tc>
      </w:tr>
      <w:tr w:rsidR="00AC6D4E" w14:paraId="06E2A490" w14:textId="77777777">
        <w:trPr>
          <w:cantSplit/>
          <w:trHeight w:val="560"/>
        </w:trPr>
        <w:tc>
          <w:tcPr>
            <w:tcW w:w="700" w:type="dxa"/>
            <w:tcMar>
              <w:top w:w="0" w:type="dxa"/>
              <w:bottom w:w="0" w:type="dxa"/>
            </w:tcMar>
            <w:vAlign w:val="center"/>
          </w:tcPr>
          <w:p w14:paraId="21E7236E" w14:textId="77777777" w:rsidR="00AC6D4E" w:rsidRDefault="00AC6D4E">
            <w:pPr>
              <w:keepNext/>
              <w:keepLines/>
              <w:spacing w:after="0" w:line="240" w:lineRule="auto"/>
            </w:pPr>
          </w:p>
        </w:tc>
        <w:tc>
          <w:tcPr>
            <w:tcW w:w="3180" w:type="dxa"/>
            <w:tcMar>
              <w:top w:w="0" w:type="dxa"/>
              <w:bottom w:w="0" w:type="dxa"/>
            </w:tcMar>
            <w:vAlign w:val="center"/>
          </w:tcPr>
          <w:p w14:paraId="3B46EF5B" w14:textId="77777777" w:rsidR="00AC6D4E" w:rsidRDefault="00000000">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2B5938F9" w14:textId="77777777" w:rsidR="00AC6D4E" w:rsidRDefault="00000000">
            <w:pPr>
              <w:keepNext/>
              <w:keepLines/>
              <w:spacing w:after="0" w:line="240" w:lineRule="auto"/>
            </w:pPr>
            <w:r>
              <w:rPr>
                <w:sz w:val="18"/>
              </w:rPr>
              <w:t>X006</w:t>
            </w:r>
          </w:p>
        </w:tc>
        <w:tc>
          <w:tcPr>
            <w:tcW w:w="1860" w:type="dxa"/>
            <w:tcMar>
              <w:top w:w="0" w:type="dxa"/>
              <w:bottom w:w="0" w:type="dxa"/>
            </w:tcMar>
            <w:vAlign w:val="center"/>
          </w:tcPr>
          <w:p w14:paraId="18EB63CE" w14:textId="77777777" w:rsidR="00AC6D4E" w:rsidRDefault="00000000">
            <w:pPr>
              <w:keepNext/>
              <w:keepLines/>
              <w:spacing w:after="0" w:line="240" w:lineRule="auto"/>
              <w:jc w:val="right"/>
            </w:pPr>
            <w:r>
              <w:rPr>
                <w:sz w:val="18"/>
              </w:rPr>
              <w:t>320.349,02</w:t>
            </w:r>
          </w:p>
        </w:tc>
        <w:tc>
          <w:tcPr>
            <w:tcW w:w="1860" w:type="dxa"/>
            <w:tcMar>
              <w:top w:w="0" w:type="dxa"/>
              <w:bottom w:w="0" w:type="dxa"/>
            </w:tcMar>
            <w:vAlign w:val="center"/>
          </w:tcPr>
          <w:p w14:paraId="196083EB" w14:textId="77777777" w:rsidR="00AC6D4E" w:rsidRDefault="00000000">
            <w:pPr>
              <w:keepNext/>
              <w:keepLines/>
              <w:spacing w:after="0" w:line="240" w:lineRule="auto"/>
              <w:jc w:val="right"/>
            </w:pPr>
            <w:r>
              <w:rPr>
                <w:sz w:val="18"/>
              </w:rPr>
              <w:t>307.343,14</w:t>
            </w:r>
          </w:p>
        </w:tc>
        <w:tc>
          <w:tcPr>
            <w:tcW w:w="700" w:type="dxa"/>
            <w:tcMar>
              <w:top w:w="0" w:type="dxa"/>
              <w:bottom w:w="0" w:type="dxa"/>
            </w:tcMar>
            <w:vAlign w:val="center"/>
          </w:tcPr>
          <w:p w14:paraId="26B19D0C" w14:textId="77777777" w:rsidR="00AC6D4E" w:rsidRDefault="00000000">
            <w:pPr>
              <w:keepNext/>
              <w:keepLines/>
              <w:spacing w:after="0" w:line="240" w:lineRule="auto"/>
              <w:jc w:val="right"/>
            </w:pPr>
            <w:r>
              <w:rPr>
                <w:sz w:val="18"/>
              </w:rPr>
              <w:t>95,9</w:t>
            </w:r>
          </w:p>
        </w:tc>
      </w:tr>
    </w:tbl>
    <w:p w14:paraId="3FCFDB90" w14:textId="77777777" w:rsidR="00AC6D4E" w:rsidRDefault="00AC6D4E">
      <w:pPr>
        <w:spacing w:after="0"/>
      </w:pPr>
    </w:p>
    <w:p w14:paraId="24270672" w14:textId="77777777" w:rsidR="00AC6D4E" w:rsidRDefault="00000000" w:rsidP="002D21C3">
      <w:pPr>
        <w:jc w:val="both"/>
      </w:pPr>
      <w:r>
        <w:lastRenderedPageBreak/>
        <w:t>Višak prihoda i primitaka raspoloživ u sljedećem razdoblju iznosi 307.343,14 eura (preneseni višak prihoda i primitaka od 301.709,28 eura je uvećan za prihode i primitke od 252.524,22 eura, i umanjen za rashode izdatke od 246.890,36 eura).</w:t>
      </w:r>
    </w:p>
    <w:p w14:paraId="082F02CF" w14:textId="77777777" w:rsidR="00AC6D4E" w:rsidRDefault="00AC6D4E"/>
    <w:p w14:paraId="0E8B65F1" w14:textId="77777777" w:rsidR="00AC6D4E"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6D4E" w14:paraId="490252DF" w14:textId="77777777">
        <w:trPr>
          <w:cantSplit/>
        </w:trPr>
        <w:tc>
          <w:tcPr>
            <w:tcW w:w="700" w:type="dxa"/>
            <w:shd w:val="clear" w:color="auto" w:fill="E7F0F9"/>
            <w:tcMar>
              <w:top w:w="0" w:type="dxa"/>
              <w:bottom w:w="0" w:type="dxa"/>
            </w:tcMar>
            <w:vAlign w:val="center"/>
          </w:tcPr>
          <w:p w14:paraId="14D27E82" w14:textId="77777777" w:rsidR="00AC6D4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4BFE4A" w14:textId="77777777" w:rsidR="00AC6D4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675E83" w14:textId="77777777" w:rsidR="00AC6D4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A18436" w14:textId="77777777" w:rsidR="00AC6D4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59BD13" w14:textId="77777777" w:rsidR="00AC6D4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B73F41" w14:textId="77777777" w:rsidR="00AC6D4E" w:rsidRDefault="00000000">
            <w:pPr>
              <w:keepNext/>
              <w:keepLines/>
              <w:spacing w:after="0" w:line="240" w:lineRule="auto"/>
              <w:jc w:val="center"/>
            </w:pPr>
            <w:r>
              <w:rPr>
                <w:b/>
                <w:sz w:val="18"/>
              </w:rPr>
              <w:t>Indeks (%)</w:t>
            </w:r>
          </w:p>
        </w:tc>
      </w:tr>
      <w:tr w:rsidR="00AC6D4E" w14:paraId="7E8FDA62" w14:textId="77777777">
        <w:trPr>
          <w:cantSplit/>
          <w:trHeight w:val="560"/>
        </w:trPr>
        <w:tc>
          <w:tcPr>
            <w:tcW w:w="700" w:type="dxa"/>
            <w:tcMar>
              <w:top w:w="0" w:type="dxa"/>
              <w:bottom w:w="0" w:type="dxa"/>
            </w:tcMar>
            <w:vAlign w:val="center"/>
          </w:tcPr>
          <w:p w14:paraId="79321220" w14:textId="77777777" w:rsidR="00AC6D4E" w:rsidRDefault="00000000">
            <w:pPr>
              <w:keepNext/>
              <w:keepLines/>
              <w:spacing w:after="0" w:line="240" w:lineRule="auto"/>
            </w:pPr>
            <w:r>
              <w:rPr>
                <w:sz w:val="18"/>
              </w:rPr>
              <w:t>11</w:t>
            </w:r>
          </w:p>
        </w:tc>
        <w:tc>
          <w:tcPr>
            <w:tcW w:w="3180" w:type="dxa"/>
            <w:tcMar>
              <w:top w:w="0" w:type="dxa"/>
              <w:bottom w:w="0" w:type="dxa"/>
            </w:tcMar>
            <w:vAlign w:val="center"/>
          </w:tcPr>
          <w:p w14:paraId="10EE553B" w14:textId="77777777" w:rsidR="00AC6D4E" w:rsidRDefault="00000000">
            <w:pPr>
              <w:keepNext/>
              <w:keepLines/>
              <w:spacing w:after="0" w:line="240" w:lineRule="auto"/>
            </w:pPr>
            <w:r>
              <w:rPr>
                <w:sz w:val="18"/>
              </w:rPr>
              <w:t>Stanje novčanih sredstava na početku izvještajnog razdoblja</w:t>
            </w:r>
          </w:p>
        </w:tc>
        <w:tc>
          <w:tcPr>
            <w:tcW w:w="700" w:type="dxa"/>
            <w:tcMar>
              <w:top w:w="0" w:type="dxa"/>
              <w:bottom w:w="0" w:type="dxa"/>
            </w:tcMar>
            <w:vAlign w:val="center"/>
          </w:tcPr>
          <w:p w14:paraId="224878CD" w14:textId="77777777" w:rsidR="00AC6D4E" w:rsidRDefault="00000000">
            <w:pPr>
              <w:keepNext/>
              <w:keepLines/>
              <w:spacing w:after="0" w:line="240" w:lineRule="auto"/>
            </w:pPr>
            <w:r>
              <w:rPr>
                <w:sz w:val="18"/>
              </w:rPr>
              <w:t>11P</w:t>
            </w:r>
          </w:p>
        </w:tc>
        <w:tc>
          <w:tcPr>
            <w:tcW w:w="1860" w:type="dxa"/>
            <w:tcMar>
              <w:top w:w="0" w:type="dxa"/>
              <w:bottom w:w="0" w:type="dxa"/>
            </w:tcMar>
            <w:vAlign w:val="center"/>
          </w:tcPr>
          <w:p w14:paraId="514F0512" w14:textId="77777777" w:rsidR="00AC6D4E" w:rsidRDefault="00000000">
            <w:pPr>
              <w:keepNext/>
              <w:keepLines/>
              <w:spacing w:after="0" w:line="240" w:lineRule="auto"/>
              <w:jc w:val="right"/>
            </w:pPr>
            <w:r>
              <w:rPr>
                <w:sz w:val="18"/>
              </w:rPr>
              <w:t>384.475,11</w:t>
            </w:r>
          </w:p>
        </w:tc>
        <w:tc>
          <w:tcPr>
            <w:tcW w:w="1860" w:type="dxa"/>
            <w:tcMar>
              <w:top w:w="0" w:type="dxa"/>
              <w:bottom w:w="0" w:type="dxa"/>
            </w:tcMar>
            <w:vAlign w:val="center"/>
          </w:tcPr>
          <w:p w14:paraId="5F827102" w14:textId="77777777" w:rsidR="00AC6D4E" w:rsidRDefault="00000000">
            <w:pPr>
              <w:keepNext/>
              <w:keepLines/>
              <w:spacing w:after="0" w:line="240" w:lineRule="auto"/>
              <w:jc w:val="right"/>
            </w:pPr>
            <w:r>
              <w:rPr>
                <w:sz w:val="18"/>
              </w:rPr>
              <w:t>379.135,45</w:t>
            </w:r>
          </w:p>
        </w:tc>
        <w:tc>
          <w:tcPr>
            <w:tcW w:w="700" w:type="dxa"/>
            <w:tcMar>
              <w:top w:w="0" w:type="dxa"/>
              <w:bottom w:w="0" w:type="dxa"/>
            </w:tcMar>
            <w:vAlign w:val="center"/>
          </w:tcPr>
          <w:p w14:paraId="2A364207" w14:textId="77777777" w:rsidR="00AC6D4E" w:rsidRDefault="00000000">
            <w:pPr>
              <w:keepNext/>
              <w:keepLines/>
              <w:spacing w:after="0" w:line="240" w:lineRule="auto"/>
              <w:jc w:val="right"/>
            </w:pPr>
            <w:r>
              <w:rPr>
                <w:sz w:val="18"/>
              </w:rPr>
              <w:t>98,6</w:t>
            </w:r>
          </w:p>
        </w:tc>
      </w:tr>
    </w:tbl>
    <w:p w14:paraId="6FB9EB9E" w14:textId="77777777" w:rsidR="00AC6D4E" w:rsidRDefault="00AC6D4E">
      <w:pPr>
        <w:spacing w:after="0"/>
      </w:pPr>
    </w:p>
    <w:p w14:paraId="4A90FCB7" w14:textId="77777777" w:rsidR="00AC6D4E" w:rsidRDefault="00000000" w:rsidP="002D21C3">
      <w:pPr>
        <w:jc w:val="both"/>
      </w:pPr>
      <w:r>
        <w:t>Stanje žiro računa na dan 01. siječnja 2026. godine iznosilo je 379.135,45 eura, od čega se iznos od 378.612,30 eura odnosi se na donacije pravnih i fizičkih osoba (izvor 61), iznos od 513,64 eura su vlastita sredstva (izvor 31), iznos od 9,51 eura odnosi na pasivnu kamatu (IF:11).</w:t>
      </w:r>
    </w:p>
    <w:p w14:paraId="373BDD1C" w14:textId="77777777" w:rsidR="00AC6D4E" w:rsidRDefault="00AC6D4E"/>
    <w:p w14:paraId="0E9E52D7" w14:textId="77777777" w:rsidR="00AC6D4E"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6D4E" w14:paraId="64E55CC0" w14:textId="77777777">
        <w:trPr>
          <w:cantSplit/>
        </w:trPr>
        <w:tc>
          <w:tcPr>
            <w:tcW w:w="700" w:type="dxa"/>
            <w:shd w:val="clear" w:color="auto" w:fill="E7F0F9"/>
            <w:tcMar>
              <w:top w:w="0" w:type="dxa"/>
              <w:bottom w:w="0" w:type="dxa"/>
            </w:tcMar>
            <w:vAlign w:val="center"/>
          </w:tcPr>
          <w:p w14:paraId="6ADCC983" w14:textId="77777777" w:rsidR="00AC6D4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2B8467" w14:textId="77777777" w:rsidR="00AC6D4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8326C8" w14:textId="77777777" w:rsidR="00AC6D4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738572" w14:textId="77777777" w:rsidR="00AC6D4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3D34880" w14:textId="77777777" w:rsidR="00AC6D4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910122" w14:textId="77777777" w:rsidR="00AC6D4E" w:rsidRDefault="00000000">
            <w:pPr>
              <w:keepNext/>
              <w:keepLines/>
              <w:spacing w:after="0" w:line="240" w:lineRule="auto"/>
              <w:jc w:val="center"/>
            </w:pPr>
            <w:r>
              <w:rPr>
                <w:b/>
                <w:sz w:val="18"/>
              </w:rPr>
              <w:t>Indeks (%)</w:t>
            </w:r>
          </w:p>
        </w:tc>
      </w:tr>
      <w:tr w:rsidR="00AC6D4E" w14:paraId="67C50E81" w14:textId="77777777">
        <w:trPr>
          <w:cantSplit/>
          <w:trHeight w:val="560"/>
        </w:trPr>
        <w:tc>
          <w:tcPr>
            <w:tcW w:w="700" w:type="dxa"/>
            <w:tcMar>
              <w:top w:w="0" w:type="dxa"/>
              <w:bottom w:w="0" w:type="dxa"/>
            </w:tcMar>
            <w:vAlign w:val="center"/>
          </w:tcPr>
          <w:p w14:paraId="4E242510" w14:textId="77777777" w:rsidR="00AC6D4E" w:rsidRDefault="00AC6D4E">
            <w:pPr>
              <w:keepNext/>
              <w:keepLines/>
              <w:spacing w:after="0" w:line="240" w:lineRule="auto"/>
            </w:pPr>
          </w:p>
        </w:tc>
        <w:tc>
          <w:tcPr>
            <w:tcW w:w="3180" w:type="dxa"/>
            <w:tcMar>
              <w:top w:w="0" w:type="dxa"/>
              <w:bottom w:w="0" w:type="dxa"/>
            </w:tcMar>
            <w:vAlign w:val="center"/>
          </w:tcPr>
          <w:p w14:paraId="5BAEC58E" w14:textId="77777777" w:rsidR="00AC6D4E" w:rsidRDefault="00000000">
            <w:pPr>
              <w:keepNext/>
              <w:keepLines/>
              <w:spacing w:after="0" w:line="240" w:lineRule="auto"/>
            </w:pPr>
            <w:r>
              <w:rPr>
                <w:sz w:val="18"/>
              </w:rPr>
              <w:t>Prosječan broj zaposlenih kod korisnika na osnovi stanja na početku i na kraju izvještajnog razdoblja (cijeli broj)</w:t>
            </w:r>
          </w:p>
        </w:tc>
        <w:tc>
          <w:tcPr>
            <w:tcW w:w="700" w:type="dxa"/>
            <w:tcMar>
              <w:top w:w="0" w:type="dxa"/>
              <w:bottom w:w="0" w:type="dxa"/>
            </w:tcMar>
            <w:vAlign w:val="center"/>
          </w:tcPr>
          <w:p w14:paraId="5ADDC442" w14:textId="77777777" w:rsidR="00AC6D4E" w:rsidRDefault="00000000">
            <w:pPr>
              <w:keepNext/>
              <w:keepLines/>
              <w:spacing w:after="0" w:line="240" w:lineRule="auto"/>
            </w:pPr>
            <w:r>
              <w:rPr>
                <w:sz w:val="18"/>
              </w:rPr>
              <w:t>Z007</w:t>
            </w:r>
          </w:p>
        </w:tc>
        <w:tc>
          <w:tcPr>
            <w:tcW w:w="1860" w:type="dxa"/>
            <w:tcMar>
              <w:top w:w="0" w:type="dxa"/>
              <w:bottom w:w="0" w:type="dxa"/>
            </w:tcMar>
            <w:vAlign w:val="center"/>
          </w:tcPr>
          <w:p w14:paraId="08BEF27E" w14:textId="77777777" w:rsidR="00AC6D4E" w:rsidRDefault="00000000">
            <w:pPr>
              <w:keepNext/>
              <w:keepLines/>
              <w:spacing w:after="0" w:line="240" w:lineRule="auto"/>
              <w:jc w:val="right"/>
            </w:pPr>
            <w:r>
              <w:rPr>
                <w:sz w:val="18"/>
              </w:rPr>
              <w:t>26,00</w:t>
            </w:r>
          </w:p>
        </w:tc>
        <w:tc>
          <w:tcPr>
            <w:tcW w:w="1860" w:type="dxa"/>
            <w:tcMar>
              <w:top w:w="0" w:type="dxa"/>
              <w:bottom w:w="0" w:type="dxa"/>
            </w:tcMar>
            <w:vAlign w:val="center"/>
          </w:tcPr>
          <w:p w14:paraId="20698F70" w14:textId="77777777" w:rsidR="00AC6D4E" w:rsidRDefault="00000000">
            <w:pPr>
              <w:keepNext/>
              <w:keepLines/>
              <w:spacing w:after="0" w:line="240" w:lineRule="auto"/>
              <w:jc w:val="right"/>
            </w:pPr>
            <w:r>
              <w:rPr>
                <w:sz w:val="18"/>
              </w:rPr>
              <w:t>28,00</w:t>
            </w:r>
          </w:p>
        </w:tc>
        <w:tc>
          <w:tcPr>
            <w:tcW w:w="700" w:type="dxa"/>
            <w:tcMar>
              <w:top w:w="0" w:type="dxa"/>
              <w:bottom w:w="0" w:type="dxa"/>
            </w:tcMar>
            <w:vAlign w:val="center"/>
          </w:tcPr>
          <w:p w14:paraId="0CB06FFE" w14:textId="77777777" w:rsidR="00AC6D4E" w:rsidRDefault="00000000">
            <w:pPr>
              <w:keepNext/>
              <w:keepLines/>
              <w:spacing w:after="0" w:line="240" w:lineRule="auto"/>
              <w:jc w:val="right"/>
            </w:pPr>
            <w:r>
              <w:rPr>
                <w:sz w:val="18"/>
              </w:rPr>
              <w:t>107,7</w:t>
            </w:r>
          </w:p>
        </w:tc>
      </w:tr>
    </w:tbl>
    <w:p w14:paraId="0DCA63A7" w14:textId="77777777" w:rsidR="00AC6D4E" w:rsidRDefault="00AC6D4E">
      <w:pPr>
        <w:spacing w:after="0"/>
      </w:pPr>
    </w:p>
    <w:p w14:paraId="285DA9A7" w14:textId="77777777" w:rsidR="00AC6D4E" w:rsidRDefault="00000000" w:rsidP="002D21C3">
      <w:pPr>
        <w:jc w:val="both"/>
      </w:pPr>
      <w:r>
        <w:t>Povećanje broja zaposlenih u 2026. godini je rezultat novih zapošljavanja (dodatni odgajatelj za organizirano stanovanje i zamjena za porodiljni dopust).</w:t>
      </w:r>
    </w:p>
    <w:p w14:paraId="2C42370C" w14:textId="77777777" w:rsidR="00AC6D4E" w:rsidRDefault="00AC6D4E"/>
    <w:p w14:paraId="034696DD" w14:textId="77777777" w:rsidR="00AC6D4E"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C6D4E" w14:paraId="2B6932A2" w14:textId="77777777">
        <w:trPr>
          <w:cantSplit/>
        </w:trPr>
        <w:tc>
          <w:tcPr>
            <w:tcW w:w="700" w:type="dxa"/>
            <w:shd w:val="clear" w:color="auto" w:fill="E7F0F9"/>
            <w:tcMar>
              <w:top w:w="0" w:type="dxa"/>
              <w:bottom w:w="0" w:type="dxa"/>
            </w:tcMar>
            <w:vAlign w:val="center"/>
          </w:tcPr>
          <w:p w14:paraId="4616450C" w14:textId="77777777" w:rsidR="00AC6D4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F63B002" w14:textId="77777777" w:rsidR="00AC6D4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64149F" w14:textId="77777777" w:rsidR="00AC6D4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77CDB6" w14:textId="77777777" w:rsidR="00AC6D4E"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1B9090" w14:textId="77777777" w:rsidR="00AC6D4E"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85CF29" w14:textId="77777777" w:rsidR="00AC6D4E" w:rsidRDefault="00000000">
            <w:pPr>
              <w:keepNext/>
              <w:keepLines/>
              <w:spacing w:after="0" w:line="240" w:lineRule="auto"/>
              <w:jc w:val="center"/>
            </w:pPr>
            <w:r>
              <w:rPr>
                <w:b/>
                <w:sz w:val="18"/>
              </w:rPr>
              <w:t>Indeks (%)</w:t>
            </w:r>
          </w:p>
        </w:tc>
      </w:tr>
      <w:tr w:rsidR="00AC6D4E" w14:paraId="65473846" w14:textId="77777777">
        <w:trPr>
          <w:cantSplit/>
          <w:trHeight w:val="560"/>
        </w:trPr>
        <w:tc>
          <w:tcPr>
            <w:tcW w:w="700" w:type="dxa"/>
            <w:tcMar>
              <w:top w:w="0" w:type="dxa"/>
              <w:bottom w:w="0" w:type="dxa"/>
            </w:tcMar>
            <w:vAlign w:val="center"/>
          </w:tcPr>
          <w:p w14:paraId="7DC8496A" w14:textId="77777777" w:rsidR="00AC6D4E" w:rsidRDefault="00000000">
            <w:pPr>
              <w:keepNext/>
              <w:keepLines/>
              <w:spacing w:after="0" w:line="240" w:lineRule="auto"/>
            </w:pPr>
            <w:r>
              <w:rPr>
                <w:sz w:val="18"/>
              </w:rPr>
              <w:t>32955</w:t>
            </w:r>
          </w:p>
        </w:tc>
        <w:tc>
          <w:tcPr>
            <w:tcW w:w="3180" w:type="dxa"/>
            <w:tcMar>
              <w:top w:w="0" w:type="dxa"/>
              <w:bottom w:w="0" w:type="dxa"/>
            </w:tcMar>
            <w:vAlign w:val="center"/>
          </w:tcPr>
          <w:p w14:paraId="07B55C2D" w14:textId="77777777" w:rsidR="00AC6D4E" w:rsidRDefault="00000000">
            <w:pPr>
              <w:keepNext/>
              <w:keepLines/>
              <w:spacing w:after="0" w:line="240" w:lineRule="auto"/>
            </w:pPr>
            <w:r>
              <w:rPr>
                <w:sz w:val="18"/>
              </w:rPr>
              <w:t>Novčana naknada poslodavca zbog nezapošljavanja osoba s invaliditetom</w:t>
            </w:r>
          </w:p>
        </w:tc>
        <w:tc>
          <w:tcPr>
            <w:tcW w:w="700" w:type="dxa"/>
            <w:tcMar>
              <w:top w:w="0" w:type="dxa"/>
              <w:bottom w:w="0" w:type="dxa"/>
            </w:tcMar>
            <w:vAlign w:val="center"/>
          </w:tcPr>
          <w:p w14:paraId="539DD6C7" w14:textId="77777777" w:rsidR="00AC6D4E" w:rsidRDefault="00000000">
            <w:pPr>
              <w:keepNext/>
              <w:keepLines/>
              <w:spacing w:after="0" w:line="240" w:lineRule="auto"/>
            </w:pPr>
            <w:r>
              <w:rPr>
                <w:sz w:val="18"/>
              </w:rPr>
              <w:t>32955</w:t>
            </w:r>
          </w:p>
        </w:tc>
        <w:tc>
          <w:tcPr>
            <w:tcW w:w="1860" w:type="dxa"/>
            <w:tcMar>
              <w:top w:w="0" w:type="dxa"/>
              <w:bottom w:w="0" w:type="dxa"/>
            </w:tcMar>
            <w:vAlign w:val="center"/>
          </w:tcPr>
          <w:p w14:paraId="6945857B" w14:textId="77777777" w:rsidR="00AC6D4E" w:rsidRDefault="00000000">
            <w:pPr>
              <w:keepNext/>
              <w:keepLines/>
              <w:spacing w:after="0" w:line="240" w:lineRule="auto"/>
              <w:jc w:val="right"/>
            </w:pPr>
            <w:r>
              <w:rPr>
                <w:sz w:val="18"/>
              </w:rPr>
              <w:t>556,00</w:t>
            </w:r>
          </w:p>
        </w:tc>
        <w:tc>
          <w:tcPr>
            <w:tcW w:w="1860" w:type="dxa"/>
            <w:tcMar>
              <w:top w:w="0" w:type="dxa"/>
              <w:bottom w:w="0" w:type="dxa"/>
            </w:tcMar>
            <w:vAlign w:val="center"/>
          </w:tcPr>
          <w:p w14:paraId="2B1E9CD2" w14:textId="77777777" w:rsidR="00AC6D4E" w:rsidRDefault="00000000">
            <w:pPr>
              <w:keepNext/>
              <w:keepLines/>
              <w:spacing w:after="0" w:line="240" w:lineRule="auto"/>
              <w:jc w:val="right"/>
            </w:pPr>
            <w:r>
              <w:rPr>
                <w:sz w:val="18"/>
              </w:rPr>
              <w:t>614,00</w:t>
            </w:r>
          </w:p>
        </w:tc>
        <w:tc>
          <w:tcPr>
            <w:tcW w:w="700" w:type="dxa"/>
            <w:tcMar>
              <w:top w:w="0" w:type="dxa"/>
              <w:bottom w:w="0" w:type="dxa"/>
            </w:tcMar>
            <w:vAlign w:val="center"/>
          </w:tcPr>
          <w:p w14:paraId="5072F5A9" w14:textId="77777777" w:rsidR="00AC6D4E" w:rsidRDefault="00000000">
            <w:pPr>
              <w:keepNext/>
              <w:keepLines/>
              <w:spacing w:after="0" w:line="240" w:lineRule="auto"/>
              <w:jc w:val="right"/>
            </w:pPr>
            <w:r>
              <w:rPr>
                <w:sz w:val="18"/>
              </w:rPr>
              <w:t>110,4</w:t>
            </w:r>
          </w:p>
        </w:tc>
      </w:tr>
    </w:tbl>
    <w:p w14:paraId="7846B423" w14:textId="77777777" w:rsidR="00AC6D4E" w:rsidRDefault="00AC6D4E">
      <w:pPr>
        <w:spacing w:after="0"/>
      </w:pPr>
    </w:p>
    <w:p w14:paraId="4B799355" w14:textId="77777777" w:rsidR="00AC6D4E" w:rsidRDefault="00000000" w:rsidP="002D21C3">
      <w:pPr>
        <w:jc w:val="both"/>
      </w:pPr>
      <w:r>
        <w:t>Veći iznos novčane naknade zbog nezapošljavanja osoba s invaliditetom, zbog povećanja iznosa obveze na temelju izračuna (veći iznos minimalne bruto plaće koji služi kao osnovica za obračun naknade).</w:t>
      </w:r>
    </w:p>
    <w:p w14:paraId="1215FE05" w14:textId="77777777" w:rsidR="00AC6D4E" w:rsidRDefault="00AC6D4E"/>
    <w:p w14:paraId="70BECCFF" w14:textId="77777777" w:rsidR="00AC6D4E" w:rsidRDefault="00000000">
      <w:pPr>
        <w:keepNext/>
        <w:spacing w:line="240" w:lineRule="auto"/>
        <w:jc w:val="center"/>
      </w:pPr>
      <w:r>
        <w:rPr>
          <w:b/>
          <w:sz w:val="28"/>
        </w:rPr>
        <w:lastRenderedPageBreak/>
        <w:t>Izvještaj o obvezama</w:t>
      </w:r>
    </w:p>
    <w:p w14:paraId="62CB41E7" w14:textId="77777777" w:rsidR="00AC6D4E"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C6D4E" w14:paraId="02CA2EFC" w14:textId="77777777">
        <w:trPr>
          <w:cantSplit/>
        </w:trPr>
        <w:tc>
          <w:tcPr>
            <w:tcW w:w="700" w:type="dxa"/>
            <w:shd w:val="clear" w:color="auto" w:fill="E7F0F9"/>
            <w:tcMar>
              <w:top w:w="0" w:type="dxa"/>
              <w:bottom w:w="0" w:type="dxa"/>
            </w:tcMar>
            <w:vAlign w:val="center"/>
          </w:tcPr>
          <w:p w14:paraId="2AAC3115" w14:textId="77777777" w:rsidR="00AC6D4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E3B744" w14:textId="77777777" w:rsidR="00AC6D4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FA6DDD" w14:textId="77777777" w:rsidR="00AC6D4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55A009" w14:textId="77777777" w:rsidR="00AC6D4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5E950B6" w14:textId="77777777" w:rsidR="00AC6D4E" w:rsidRDefault="00000000">
            <w:pPr>
              <w:keepNext/>
              <w:keepLines/>
              <w:spacing w:after="0" w:line="240" w:lineRule="auto"/>
              <w:jc w:val="center"/>
            </w:pPr>
            <w:r>
              <w:rPr>
                <w:b/>
                <w:sz w:val="18"/>
              </w:rPr>
              <w:t>Indeks (%)</w:t>
            </w:r>
          </w:p>
        </w:tc>
      </w:tr>
      <w:tr w:rsidR="00AC6D4E" w14:paraId="1348336A" w14:textId="77777777">
        <w:trPr>
          <w:cantSplit/>
          <w:trHeight w:val="560"/>
        </w:trPr>
        <w:tc>
          <w:tcPr>
            <w:tcW w:w="700" w:type="dxa"/>
            <w:tcMar>
              <w:top w:w="0" w:type="dxa"/>
              <w:bottom w:w="0" w:type="dxa"/>
            </w:tcMar>
            <w:vAlign w:val="center"/>
          </w:tcPr>
          <w:p w14:paraId="21793D5C" w14:textId="77777777" w:rsidR="00AC6D4E" w:rsidRDefault="00AC6D4E">
            <w:pPr>
              <w:keepNext/>
              <w:keepLines/>
              <w:spacing w:after="0" w:line="240" w:lineRule="auto"/>
            </w:pPr>
          </w:p>
        </w:tc>
        <w:tc>
          <w:tcPr>
            <w:tcW w:w="3180" w:type="dxa"/>
            <w:tcMar>
              <w:top w:w="0" w:type="dxa"/>
              <w:bottom w:w="0" w:type="dxa"/>
            </w:tcMar>
            <w:vAlign w:val="center"/>
          </w:tcPr>
          <w:p w14:paraId="4333B4A9" w14:textId="77777777" w:rsidR="00AC6D4E"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31A697C1" w14:textId="77777777" w:rsidR="00AC6D4E" w:rsidRDefault="00000000">
            <w:pPr>
              <w:keepNext/>
              <w:keepLines/>
              <w:spacing w:after="0" w:line="240" w:lineRule="auto"/>
            </w:pPr>
            <w:r>
              <w:rPr>
                <w:sz w:val="18"/>
              </w:rPr>
              <w:t>V001</w:t>
            </w:r>
          </w:p>
        </w:tc>
        <w:tc>
          <w:tcPr>
            <w:tcW w:w="1860" w:type="dxa"/>
            <w:tcMar>
              <w:top w:w="0" w:type="dxa"/>
              <w:bottom w:w="0" w:type="dxa"/>
            </w:tcMar>
            <w:vAlign w:val="center"/>
          </w:tcPr>
          <w:p w14:paraId="5F189137" w14:textId="77777777" w:rsidR="00AC6D4E" w:rsidRDefault="00000000">
            <w:pPr>
              <w:keepNext/>
              <w:keepLines/>
              <w:spacing w:after="0" w:line="240" w:lineRule="auto"/>
              <w:jc w:val="right"/>
            </w:pPr>
            <w:r>
              <w:rPr>
                <w:sz w:val="18"/>
              </w:rPr>
              <w:t>76.667,87</w:t>
            </w:r>
          </w:p>
        </w:tc>
        <w:tc>
          <w:tcPr>
            <w:tcW w:w="700" w:type="dxa"/>
            <w:tcMar>
              <w:top w:w="0" w:type="dxa"/>
              <w:bottom w:w="0" w:type="dxa"/>
            </w:tcMar>
            <w:vAlign w:val="center"/>
          </w:tcPr>
          <w:p w14:paraId="4C87DD78" w14:textId="77777777" w:rsidR="00AC6D4E" w:rsidRDefault="00000000">
            <w:pPr>
              <w:keepNext/>
              <w:keepLines/>
              <w:spacing w:after="0" w:line="240" w:lineRule="auto"/>
              <w:jc w:val="right"/>
            </w:pPr>
            <w:r>
              <w:rPr>
                <w:sz w:val="18"/>
              </w:rPr>
              <w:t>-</w:t>
            </w:r>
          </w:p>
        </w:tc>
      </w:tr>
    </w:tbl>
    <w:p w14:paraId="53E935C9" w14:textId="77777777" w:rsidR="00AC6D4E" w:rsidRDefault="00AC6D4E">
      <w:pPr>
        <w:spacing w:after="0"/>
      </w:pPr>
    </w:p>
    <w:p w14:paraId="34C1366A" w14:textId="77777777" w:rsidR="00AC6D4E" w:rsidRDefault="00000000">
      <w:r>
        <w:t>Stanje obveza 1. siječnja 2026. godine iznosi 76.667,87 eura, a iznos je jednak stanju obveza na dan 31. prosinca 2025. godine.</w:t>
      </w:r>
    </w:p>
    <w:p w14:paraId="7351448A" w14:textId="77777777" w:rsidR="00AC6D4E" w:rsidRDefault="00AC6D4E"/>
    <w:p w14:paraId="0FBF5FA4" w14:textId="77777777" w:rsidR="00AC6D4E"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C6D4E" w14:paraId="4D92BFFD" w14:textId="77777777">
        <w:trPr>
          <w:cantSplit/>
        </w:trPr>
        <w:tc>
          <w:tcPr>
            <w:tcW w:w="700" w:type="dxa"/>
            <w:shd w:val="clear" w:color="auto" w:fill="E7F0F9"/>
            <w:tcMar>
              <w:top w:w="0" w:type="dxa"/>
              <w:bottom w:w="0" w:type="dxa"/>
            </w:tcMar>
            <w:vAlign w:val="center"/>
          </w:tcPr>
          <w:p w14:paraId="3BC4D3A5" w14:textId="77777777" w:rsidR="00AC6D4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F83C35" w14:textId="77777777" w:rsidR="00AC6D4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2A79DF" w14:textId="77777777" w:rsidR="00AC6D4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9237D5" w14:textId="77777777" w:rsidR="00AC6D4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274955D" w14:textId="77777777" w:rsidR="00AC6D4E" w:rsidRDefault="00000000">
            <w:pPr>
              <w:keepNext/>
              <w:keepLines/>
              <w:spacing w:after="0" w:line="240" w:lineRule="auto"/>
              <w:jc w:val="center"/>
            </w:pPr>
            <w:r>
              <w:rPr>
                <w:b/>
                <w:sz w:val="18"/>
              </w:rPr>
              <w:t>Indeks (%)</w:t>
            </w:r>
          </w:p>
        </w:tc>
      </w:tr>
      <w:tr w:rsidR="00AC6D4E" w14:paraId="64B12044" w14:textId="77777777">
        <w:trPr>
          <w:cantSplit/>
          <w:trHeight w:val="560"/>
        </w:trPr>
        <w:tc>
          <w:tcPr>
            <w:tcW w:w="700" w:type="dxa"/>
            <w:tcMar>
              <w:top w:w="0" w:type="dxa"/>
              <w:bottom w:w="0" w:type="dxa"/>
            </w:tcMar>
            <w:vAlign w:val="center"/>
          </w:tcPr>
          <w:p w14:paraId="11DC3764" w14:textId="77777777" w:rsidR="00AC6D4E" w:rsidRDefault="00AC6D4E">
            <w:pPr>
              <w:keepNext/>
              <w:keepLines/>
              <w:spacing w:after="0" w:line="240" w:lineRule="auto"/>
            </w:pPr>
          </w:p>
        </w:tc>
        <w:tc>
          <w:tcPr>
            <w:tcW w:w="3180" w:type="dxa"/>
            <w:tcMar>
              <w:top w:w="0" w:type="dxa"/>
              <w:bottom w:w="0" w:type="dxa"/>
            </w:tcMar>
            <w:vAlign w:val="center"/>
          </w:tcPr>
          <w:p w14:paraId="48459FB7" w14:textId="77777777" w:rsidR="00AC6D4E"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320D05A6" w14:textId="77777777" w:rsidR="00AC6D4E" w:rsidRDefault="00000000">
            <w:pPr>
              <w:keepNext/>
              <w:keepLines/>
              <w:spacing w:after="0" w:line="240" w:lineRule="auto"/>
            </w:pPr>
            <w:r>
              <w:rPr>
                <w:sz w:val="18"/>
              </w:rPr>
              <w:t>V003</w:t>
            </w:r>
          </w:p>
        </w:tc>
        <w:tc>
          <w:tcPr>
            <w:tcW w:w="1860" w:type="dxa"/>
            <w:tcMar>
              <w:top w:w="0" w:type="dxa"/>
              <w:bottom w:w="0" w:type="dxa"/>
            </w:tcMar>
            <w:vAlign w:val="center"/>
          </w:tcPr>
          <w:p w14:paraId="389E86CC" w14:textId="77777777" w:rsidR="00AC6D4E" w:rsidRDefault="00000000">
            <w:pPr>
              <w:keepNext/>
              <w:keepLines/>
              <w:spacing w:after="0" w:line="240" w:lineRule="auto"/>
              <w:jc w:val="right"/>
            </w:pPr>
            <w:r>
              <w:rPr>
                <w:sz w:val="18"/>
              </w:rPr>
              <w:t>235,56</w:t>
            </w:r>
          </w:p>
        </w:tc>
        <w:tc>
          <w:tcPr>
            <w:tcW w:w="700" w:type="dxa"/>
            <w:tcMar>
              <w:top w:w="0" w:type="dxa"/>
              <w:bottom w:w="0" w:type="dxa"/>
            </w:tcMar>
            <w:vAlign w:val="center"/>
          </w:tcPr>
          <w:p w14:paraId="34A6239D" w14:textId="77777777" w:rsidR="00AC6D4E" w:rsidRDefault="00000000">
            <w:pPr>
              <w:keepNext/>
              <w:keepLines/>
              <w:spacing w:after="0" w:line="240" w:lineRule="auto"/>
              <w:jc w:val="right"/>
            </w:pPr>
            <w:r>
              <w:rPr>
                <w:sz w:val="18"/>
              </w:rPr>
              <w:t>-</w:t>
            </w:r>
          </w:p>
        </w:tc>
      </w:tr>
    </w:tbl>
    <w:p w14:paraId="7A2FAF8F" w14:textId="77777777" w:rsidR="00AC6D4E" w:rsidRDefault="00AC6D4E" w:rsidP="002D21C3">
      <w:pPr>
        <w:spacing w:after="0"/>
        <w:jc w:val="both"/>
      </w:pPr>
    </w:p>
    <w:p w14:paraId="126EFF82" w14:textId="77777777" w:rsidR="00AC6D4E" w:rsidRDefault="00000000" w:rsidP="002D21C3">
      <w:pPr>
        <w:jc w:val="both"/>
      </w:pPr>
      <w:r>
        <w:t>Nastale međusobne obveze subjekata općeg proračuna u izvještajnom razdoblju se odnose na obvezu za refundaciju bolovanja na teret HZZO-a u iznosu od 226,24 eura te uplaćenu pasivnu kamatu banke od 9,32 eura.</w:t>
      </w:r>
    </w:p>
    <w:p w14:paraId="474CC9C3" w14:textId="77777777" w:rsidR="00AC6D4E" w:rsidRDefault="00AC6D4E"/>
    <w:p w14:paraId="67E505C5" w14:textId="77777777" w:rsidR="00AC6D4E"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C6D4E" w14:paraId="01765354" w14:textId="77777777">
        <w:trPr>
          <w:cantSplit/>
        </w:trPr>
        <w:tc>
          <w:tcPr>
            <w:tcW w:w="700" w:type="dxa"/>
            <w:shd w:val="clear" w:color="auto" w:fill="E7F0F9"/>
            <w:tcMar>
              <w:top w:w="0" w:type="dxa"/>
              <w:bottom w:w="0" w:type="dxa"/>
            </w:tcMar>
            <w:vAlign w:val="center"/>
          </w:tcPr>
          <w:p w14:paraId="581B3ECA" w14:textId="77777777" w:rsidR="00AC6D4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44BEA0" w14:textId="77777777" w:rsidR="00AC6D4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51C189" w14:textId="77777777" w:rsidR="00AC6D4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7A9491" w14:textId="77777777" w:rsidR="00AC6D4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8A23273" w14:textId="77777777" w:rsidR="00AC6D4E" w:rsidRDefault="00000000">
            <w:pPr>
              <w:keepNext/>
              <w:keepLines/>
              <w:spacing w:after="0" w:line="240" w:lineRule="auto"/>
              <w:jc w:val="center"/>
            </w:pPr>
            <w:r>
              <w:rPr>
                <w:b/>
                <w:sz w:val="18"/>
              </w:rPr>
              <w:t>Indeks (%)</w:t>
            </w:r>
          </w:p>
        </w:tc>
      </w:tr>
      <w:tr w:rsidR="00AC6D4E" w14:paraId="1684344D" w14:textId="77777777">
        <w:trPr>
          <w:cantSplit/>
          <w:trHeight w:val="560"/>
        </w:trPr>
        <w:tc>
          <w:tcPr>
            <w:tcW w:w="700" w:type="dxa"/>
            <w:tcMar>
              <w:top w:w="0" w:type="dxa"/>
              <w:bottom w:w="0" w:type="dxa"/>
            </w:tcMar>
            <w:vAlign w:val="center"/>
          </w:tcPr>
          <w:p w14:paraId="33676035" w14:textId="77777777" w:rsidR="00AC6D4E" w:rsidRDefault="00AC6D4E">
            <w:pPr>
              <w:keepNext/>
              <w:keepLines/>
              <w:spacing w:after="0" w:line="240" w:lineRule="auto"/>
            </w:pPr>
          </w:p>
        </w:tc>
        <w:tc>
          <w:tcPr>
            <w:tcW w:w="3180" w:type="dxa"/>
            <w:tcMar>
              <w:top w:w="0" w:type="dxa"/>
              <w:bottom w:w="0" w:type="dxa"/>
            </w:tcMar>
            <w:vAlign w:val="center"/>
          </w:tcPr>
          <w:p w14:paraId="1FE2AEEB" w14:textId="77777777" w:rsidR="00AC6D4E"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565D2E4C" w14:textId="77777777" w:rsidR="00AC6D4E" w:rsidRDefault="00000000">
            <w:pPr>
              <w:keepNext/>
              <w:keepLines/>
              <w:spacing w:after="0" w:line="240" w:lineRule="auto"/>
            </w:pPr>
            <w:r>
              <w:rPr>
                <w:sz w:val="18"/>
              </w:rPr>
              <w:t>V005</w:t>
            </w:r>
          </w:p>
        </w:tc>
        <w:tc>
          <w:tcPr>
            <w:tcW w:w="1860" w:type="dxa"/>
            <w:tcMar>
              <w:top w:w="0" w:type="dxa"/>
              <w:bottom w:w="0" w:type="dxa"/>
            </w:tcMar>
            <w:vAlign w:val="center"/>
          </w:tcPr>
          <w:p w14:paraId="4FC5EF4A" w14:textId="77777777" w:rsidR="00AC6D4E" w:rsidRDefault="00000000">
            <w:pPr>
              <w:keepNext/>
              <w:keepLines/>
              <w:spacing w:after="0" w:line="240" w:lineRule="auto"/>
              <w:jc w:val="right"/>
            </w:pPr>
            <w:r>
              <w:rPr>
                <w:sz w:val="18"/>
              </w:rPr>
              <w:t>158,83</w:t>
            </w:r>
          </w:p>
        </w:tc>
        <w:tc>
          <w:tcPr>
            <w:tcW w:w="700" w:type="dxa"/>
            <w:tcMar>
              <w:top w:w="0" w:type="dxa"/>
              <w:bottom w:w="0" w:type="dxa"/>
            </w:tcMar>
            <w:vAlign w:val="center"/>
          </w:tcPr>
          <w:p w14:paraId="7779CB96" w14:textId="77777777" w:rsidR="00AC6D4E" w:rsidRDefault="00000000">
            <w:pPr>
              <w:keepNext/>
              <w:keepLines/>
              <w:spacing w:after="0" w:line="240" w:lineRule="auto"/>
              <w:jc w:val="right"/>
            </w:pPr>
            <w:r>
              <w:rPr>
                <w:sz w:val="18"/>
              </w:rPr>
              <w:t>-</w:t>
            </w:r>
          </w:p>
        </w:tc>
      </w:tr>
    </w:tbl>
    <w:p w14:paraId="68D73CB8" w14:textId="77777777" w:rsidR="00AC6D4E" w:rsidRDefault="00AC6D4E">
      <w:pPr>
        <w:spacing w:after="0"/>
      </w:pPr>
    </w:p>
    <w:p w14:paraId="24415B60" w14:textId="77777777" w:rsidR="00AC6D4E" w:rsidRDefault="00000000" w:rsidP="002D21C3">
      <w:pPr>
        <w:jc w:val="both"/>
      </w:pPr>
      <w:r>
        <w:t>Podmirene međusobne obveze subjekata općeg proračuna u iznosu od 158,83 eura se odnose na refundaciju bolovanja na teret HZZO-a u iznosu od 149,32 eura i uplatu pasivne kamate banke u Državni proračun u iznosu od 9,51 eura.</w:t>
      </w:r>
    </w:p>
    <w:p w14:paraId="7A5B475D" w14:textId="77777777" w:rsidR="00AC6D4E" w:rsidRDefault="00AC6D4E"/>
    <w:p w14:paraId="1ACDC4A8" w14:textId="77777777" w:rsidR="00AC6D4E"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C6D4E" w14:paraId="38BDAEE1" w14:textId="77777777">
        <w:trPr>
          <w:cantSplit/>
        </w:trPr>
        <w:tc>
          <w:tcPr>
            <w:tcW w:w="700" w:type="dxa"/>
            <w:shd w:val="clear" w:color="auto" w:fill="E7F0F9"/>
            <w:tcMar>
              <w:top w:w="0" w:type="dxa"/>
              <w:bottom w:w="0" w:type="dxa"/>
            </w:tcMar>
            <w:vAlign w:val="center"/>
          </w:tcPr>
          <w:p w14:paraId="62FE1CE6" w14:textId="77777777" w:rsidR="00AC6D4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A7826A" w14:textId="77777777" w:rsidR="00AC6D4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42F4B3" w14:textId="77777777" w:rsidR="00AC6D4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B248DA" w14:textId="77777777" w:rsidR="00AC6D4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3A19429" w14:textId="77777777" w:rsidR="00AC6D4E" w:rsidRDefault="00000000">
            <w:pPr>
              <w:keepNext/>
              <w:keepLines/>
              <w:spacing w:after="0" w:line="240" w:lineRule="auto"/>
              <w:jc w:val="center"/>
            </w:pPr>
            <w:r>
              <w:rPr>
                <w:b/>
                <w:sz w:val="18"/>
              </w:rPr>
              <w:t>Indeks (%)</w:t>
            </w:r>
          </w:p>
        </w:tc>
      </w:tr>
      <w:tr w:rsidR="00AC6D4E" w14:paraId="77C4E3AC" w14:textId="77777777">
        <w:trPr>
          <w:cantSplit/>
          <w:trHeight w:val="560"/>
        </w:trPr>
        <w:tc>
          <w:tcPr>
            <w:tcW w:w="700" w:type="dxa"/>
            <w:tcMar>
              <w:top w:w="0" w:type="dxa"/>
              <w:bottom w:w="0" w:type="dxa"/>
            </w:tcMar>
            <w:vAlign w:val="center"/>
          </w:tcPr>
          <w:p w14:paraId="5FEABA3D" w14:textId="77777777" w:rsidR="00AC6D4E" w:rsidRDefault="00AC6D4E">
            <w:pPr>
              <w:keepNext/>
              <w:keepLines/>
              <w:spacing w:after="0" w:line="240" w:lineRule="auto"/>
            </w:pPr>
          </w:p>
        </w:tc>
        <w:tc>
          <w:tcPr>
            <w:tcW w:w="3180" w:type="dxa"/>
            <w:tcMar>
              <w:top w:w="0" w:type="dxa"/>
              <w:bottom w:w="0" w:type="dxa"/>
            </w:tcMar>
            <w:vAlign w:val="center"/>
          </w:tcPr>
          <w:p w14:paraId="4AF7A175" w14:textId="77777777" w:rsidR="00AC6D4E"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18F9E38B" w14:textId="77777777" w:rsidR="00AC6D4E" w:rsidRDefault="00000000">
            <w:pPr>
              <w:keepNext/>
              <w:keepLines/>
              <w:spacing w:after="0" w:line="240" w:lineRule="auto"/>
            </w:pPr>
            <w:r>
              <w:rPr>
                <w:sz w:val="18"/>
              </w:rPr>
              <w:t>V006</w:t>
            </w:r>
          </w:p>
        </w:tc>
        <w:tc>
          <w:tcPr>
            <w:tcW w:w="1860" w:type="dxa"/>
            <w:tcMar>
              <w:top w:w="0" w:type="dxa"/>
              <w:bottom w:w="0" w:type="dxa"/>
            </w:tcMar>
            <w:vAlign w:val="center"/>
          </w:tcPr>
          <w:p w14:paraId="459AFD66" w14:textId="77777777" w:rsidR="00AC6D4E" w:rsidRDefault="00000000">
            <w:pPr>
              <w:keepNext/>
              <w:keepLines/>
              <w:spacing w:after="0" w:line="240" w:lineRule="auto"/>
              <w:jc w:val="right"/>
            </w:pPr>
            <w:r>
              <w:rPr>
                <w:sz w:val="18"/>
              </w:rPr>
              <w:t>76.500,91</w:t>
            </w:r>
          </w:p>
        </w:tc>
        <w:tc>
          <w:tcPr>
            <w:tcW w:w="700" w:type="dxa"/>
            <w:tcMar>
              <w:top w:w="0" w:type="dxa"/>
              <w:bottom w:w="0" w:type="dxa"/>
            </w:tcMar>
            <w:vAlign w:val="center"/>
          </w:tcPr>
          <w:p w14:paraId="65F80AD8" w14:textId="77777777" w:rsidR="00AC6D4E" w:rsidRDefault="00000000">
            <w:pPr>
              <w:keepNext/>
              <w:keepLines/>
              <w:spacing w:after="0" w:line="240" w:lineRule="auto"/>
              <w:jc w:val="right"/>
            </w:pPr>
            <w:r>
              <w:rPr>
                <w:sz w:val="18"/>
              </w:rPr>
              <w:t>-</w:t>
            </w:r>
          </w:p>
        </w:tc>
      </w:tr>
    </w:tbl>
    <w:p w14:paraId="575F2A34" w14:textId="77777777" w:rsidR="00AC6D4E" w:rsidRDefault="00AC6D4E">
      <w:pPr>
        <w:spacing w:after="0"/>
      </w:pPr>
    </w:p>
    <w:p w14:paraId="78E2FC4E" w14:textId="77777777" w:rsidR="00AC6D4E" w:rsidRDefault="00000000" w:rsidP="002D21C3">
      <w:pPr>
        <w:jc w:val="both"/>
      </w:pPr>
      <w:r>
        <w:t>Stanje obveza na dan 31.03.2026. godine iznosi 76.500,91 eura, a sastoji se od dospjelih obveza u iznosu od 179,70 eura (neplaćene fakture s datumom dospijeća prije 31.03.2026. godine) te nedospjelih obveza u iznosu od 76.321,21 eura (fakture s datumom dospijeća nakon 31.03.2026. godine i rashodi za plaće za 03/2026 koje su isplaćene u razdoblju 04/2026).</w:t>
      </w:r>
    </w:p>
    <w:p w14:paraId="36F6405C" w14:textId="77777777" w:rsidR="00AC6D4E" w:rsidRDefault="00AC6D4E"/>
    <w:p w14:paraId="200FE55C" w14:textId="77777777" w:rsidR="00AC6D4E"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C6D4E" w14:paraId="221AAE1E" w14:textId="77777777">
        <w:trPr>
          <w:cantSplit/>
        </w:trPr>
        <w:tc>
          <w:tcPr>
            <w:tcW w:w="700" w:type="dxa"/>
            <w:shd w:val="clear" w:color="auto" w:fill="E7F0F9"/>
            <w:tcMar>
              <w:top w:w="0" w:type="dxa"/>
              <w:bottom w:w="0" w:type="dxa"/>
            </w:tcMar>
            <w:vAlign w:val="center"/>
          </w:tcPr>
          <w:p w14:paraId="1CDECF65" w14:textId="77777777" w:rsidR="00AC6D4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C7086B" w14:textId="77777777" w:rsidR="00AC6D4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9AC996" w14:textId="77777777" w:rsidR="00AC6D4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345BBB" w14:textId="77777777" w:rsidR="00AC6D4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CAFDF6A" w14:textId="77777777" w:rsidR="00AC6D4E" w:rsidRDefault="00000000">
            <w:pPr>
              <w:keepNext/>
              <w:keepLines/>
              <w:spacing w:after="0" w:line="240" w:lineRule="auto"/>
              <w:jc w:val="center"/>
            </w:pPr>
            <w:r>
              <w:rPr>
                <w:b/>
                <w:sz w:val="18"/>
              </w:rPr>
              <w:t>Indeks (%)</w:t>
            </w:r>
          </w:p>
        </w:tc>
      </w:tr>
      <w:tr w:rsidR="00AC6D4E" w14:paraId="7FCCB49C" w14:textId="77777777">
        <w:trPr>
          <w:cantSplit/>
          <w:trHeight w:val="560"/>
        </w:trPr>
        <w:tc>
          <w:tcPr>
            <w:tcW w:w="700" w:type="dxa"/>
            <w:tcMar>
              <w:top w:w="0" w:type="dxa"/>
              <w:bottom w:w="0" w:type="dxa"/>
            </w:tcMar>
            <w:vAlign w:val="center"/>
          </w:tcPr>
          <w:p w14:paraId="749668BF" w14:textId="77777777" w:rsidR="00AC6D4E" w:rsidRDefault="00AC6D4E">
            <w:pPr>
              <w:keepNext/>
              <w:keepLines/>
              <w:spacing w:after="0" w:line="240" w:lineRule="auto"/>
            </w:pPr>
          </w:p>
        </w:tc>
        <w:tc>
          <w:tcPr>
            <w:tcW w:w="3180" w:type="dxa"/>
            <w:tcMar>
              <w:top w:w="0" w:type="dxa"/>
              <w:bottom w:w="0" w:type="dxa"/>
            </w:tcMar>
            <w:vAlign w:val="center"/>
          </w:tcPr>
          <w:p w14:paraId="493D5BE6" w14:textId="77777777" w:rsidR="00AC6D4E"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51FB71C7" w14:textId="77777777" w:rsidR="00AC6D4E" w:rsidRDefault="00000000">
            <w:pPr>
              <w:keepNext/>
              <w:keepLines/>
              <w:spacing w:after="0" w:line="240" w:lineRule="auto"/>
            </w:pPr>
            <w:r>
              <w:rPr>
                <w:sz w:val="18"/>
              </w:rPr>
              <w:t>V007</w:t>
            </w:r>
          </w:p>
        </w:tc>
        <w:tc>
          <w:tcPr>
            <w:tcW w:w="1860" w:type="dxa"/>
            <w:tcMar>
              <w:top w:w="0" w:type="dxa"/>
              <w:bottom w:w="0" w:type="dxa"/>
            </w:tcMar>
            <w:vAlign w:val="center"/>
          </w:tcPr>
          <w:p w14:paraId="3648B65C" w14:textId="77777777" w:rsidR="00AC6D4E" w:rsidRDefault="00000000">
            <w:pPr>
              <w:keepNext/>
              <w:keepLines/>
              <w:spacing w:after="0" w:line="240" w:lineRule="auto"/>
              <w:jc w:val="right"/>
            </w:pPr>
            <w:r>
              <w:rPr>
                <w:sz w:val="18"/>
              </w:rPr>
              <w:t>179,70</w:t>
            </w:r>
          </w:p>
        </w:tc>
        <w:tc>
          <w:tcPr>
            <w:tcW w:w="700" w:type="dxa"/>
            <w:tcMar>
              <w:top w:w="0" w:type="dxa"/>
              <w:bottom w:w="0" w:type="dxa"/>
            </w:tcMar>
            <w:vAlign w:val="center"/>
          </w:tcPr>
          <w:p w14:paraId="1E88C3D0" w14:textId="77777777" w:rsidR="00AC6D4E" w:rsidRDefault="00000000">
            <w:pPr>
              <w:keepNext/>
              <w:keepLines/>
              <w:spacing w:after="0" w:line="240" w:lineRule="auto"/>
              <w:jc w:val="right"/>
            </w:pPr>
            <w:r>
              <w:rPr>
                <w:sz w:val="18"/>
              </w:rPr>
              <w:t>-</w:t>
            </w:r>
          </w:p>
        </w:tc>
      </w:tr>
    </w:tbl>
    <w:p w14:paraId="6B39D1C2" w14:textId="77777777" w:rsidR="00AC6D4E" w:rsidRDefault="00AC6D4E">
      <w:pPr>
        <w:spacing w:after="0"/>
      </w:pPr>
    </w:p>
    <w:p w14:paraId="243100E1" w14:textId="77777777" w:rsidR="00AC6D4E" w:rsidRDefault="00000000" w:rsidP="002D21C3">
      <w:pPr>
        <w:jc w:val="both"/>
      </w:pPr>
      <w:r>
        <w:t>Dospjele obveze u iznosu od 179,70 eura se odnose na zaprimljene ulazne fakture za materijalne rashode s datumom dospijeća prije 31.03.2026. godine, prekoračenje dospijeća maksimalno do 12 dana.</w:t>
      </w:r>
    </w:p>
    <w:p w14:paraId="06FB85E4" w14:textId="77777777" w:rsidR="00AC6D4E" w:rsidRDefault="00AC6D4E"/>
    <w:p w14:paraId="7A4C409C" w14:textId="77777777" w:rsidR="00AC6D4E"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C6D4E" w14:paraId="559341E9" w14:textId="77777777">
        <w:trPr>
          <w:cantSplit/>
        </w:trPr>
        <w:tc>
          <w:tcPr>
            <w:tcW w:w="700" w:type="dxa"/>
            <w:shd w:val="clear" w:color="auto" w:fill="E7F0F9"/>
            <w:tcMar>
              <w:top w:w="0" w:type="dxa"/>
              <w:bottom w:w="0" w:type="dxa"/>
            </w:tcMar>
            <w:vAlign w:val="center"/>
          </w:tcPr>
          <w:p w14:paraId="5A579722" w14:textId="77777777" w:rsidR="00AC6D4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4DD3EF" w14:textId="77777777" w:rsidR="00AC6D4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C856D5" w14:textId="77777777" w:rsidR="00AC6D4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B80F81" w14:textId="77777777" w:rsidR="00AC6D4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537B7CE" w14:textId="77777777" w:rsidR="00AC6D4E" w:rsidRDefault="00000000">
            <w:pPr>
              <w:keepNext/>
              <w:keepLines/>
              <w:spacing w:after="0" w:line="240" w:lineRule="auto"/>
              <w:jc w:val="center"/>
            </w:pPr>
            <w:r>
              <w:rPr>
                <w:b/>
                <w:sz w:val="18"/>
              </w:rPr>
              <w:t>Indeks (%)</w:t>
            </w:r>
          </w:p>
        </w:tc>
      </w:tr>
      <w:tr w:rsidR="00AC6D4E" w14:paraId="0C041546" w14:textId="77777777">
        <w:trPr>
          <w:cantSplit/>
          <w:trHeight w:val="560"/>
        </w:trPr>
        <w:tc>
          <w:tcPr>
            <w:tcW w:w="700" w:type="dxa"/>
            <w:tcMar>
              <w:top w:w="0" w:type="dxa"/>
              <w:bottom w:w="0" w:type="dxa"/>
            </w:tcMar>
            <w:vAlign w:val="center"/>
          </w:tcPr>
          <w:p w14:paraId="0D546CF3" w14:textId="77777777" w:rsidR="00AC6D4E" w:rsidRDefault="00AC6D4E">
            <w:pPr>
              <w:keepNext/>
              <w:keepLines/>
              <w:spacing w:after="0" w:line="240" w:lineRule="auto"/>
            </w:pPr>
          </w:p>
        </w:tc>
        <w:tc>
          <w:tcPr>
            <w:tcW w:w="3180" w:type="dxa"/>
            <w:tcMar>
              <w:top w:w="0" w:type="dxa"/>
              <w:bottom w:w="0" w:type="dxa"/>
            </w:tcMar>
            <w:vAlign w:val="center"/>
          </w:tcPr>
          <w:p w14:paraId="7AE46FEE" w14:textId="77777777" w:rsidR="00AC6D4E"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28A6EC82" w14:textId="77777777" w:rsidR="00AC6D4E" w:rsidRDefault="00000000">
            <w:pPr>
              <w:keepNext/>
              <w:keepLines/>
              <w:spacing w:after="0" w:line="240" w:lineRule="auto"/>
            </w:pPr>
            <w:r>
              <w:rPr>
                <w:sz w:val="18"/>
              </w:rPr>
              <w:t>V009</w:t>
            </w:r>
          </w:p>
        </w:tc>
        <w:tc>
          <w:tcPr>
            <w:tcW w:w="1860" w:type="dxa"/>
            <w:tcMar>
              <w:top w:w="0" w:type="dxa"/>
              <w:bottom w:w="0" w:type="dxa"/>
            </w:tcMar>
            <w:vAlign w:val="center"/>
          </w:tcPr>
          <w:p w14:paraId="26CBF232" w14:textId="77777777" w:rsidR="00AC6D4E" w:rsidRDefault="00000000">
            <w:pPr>
              <w:keepNext/>
              <w:keepLines/>
              <w:spacing w:after="0" w:line="240" w:lineRule="auto"/>
              <w:jc w:val="right"/>
            </w:pPr>
            <w:r>
              <w:rPr>
                <w:sz w:val="18"/>
              </w:rPr>
              <w:t>76.321,21</w:t>
            </w:r>
          </w:p>
        </w:tc>
        <w:tc>
          <w:tcPr>
            <w:tcW w:w="700" w:type="dxa"/>
            <w:tcMar>
              <w:top w:w="0" w:type="dxa"/>
              <w:bottom w:w="0" w:type="dxa"/>
            </w:tcMar>
            <w:vAlign w:val="center"/>
          </w:tcPr>
          <w:p w14:paraId="79174020" w14:textId="77777777" w:rsidR="00AC6D4E" w:rsidRDefault="00000000">
            <w:pPr>
              <w:keepNext/>
              <w:keepLines/>
              <w:spacing w:after="0" w:line="240" w:lineRule="auto"/>
              <w:jc w:val="right"/>
            </w:pPr>
            <w:r>
              <w:rPr>
                <w:sz w:val="18"/>
              </w:rPr>
              <w:t>-</w:t>
            </w:r>
          </w:p>
        </w:tc>
      </w:tr>
    </w:tbl>
    <w:p w14:paraId="13B0C578" w14:textId="77777777" w:rsidR="00AC6D4E" w:rsidRDefault="00AC6D4E" w:rsidP="002D21C3">
      <w:pPr>
        <w:spacing w:after="0"/>
        <w:jc w:val="both"/>
      </w:pPr>
    </w:p>
    <w:p w14:paraId="7F94586B" w14:textId="77777777" w:rsidR="00AC6D4E" w:rsidRDefault="00000000" w:rsidP="002D21C3">
      <w:pPr>
        <w:jc w:val="both"/>
      </w:pPr>
      <w:r>
        <w:t>Stanje nedospjelih obveza na dan 31.03.2026. iznosi 76.321,21 eura, što je rezultat zbroja međusobnih obveza proračunskih korisnika (V010) i obveza za rashode poslovanja (ND23).</w:t>
      </w:r>
    </w:p>
    <w:p w14:paraId="32AB484E" w14:textId="77777777" w:rsidR="003151F7" w:rsidRDefault="003151F7">
      <w:pPr>
        <w:keepNext/>
        <w:spacing w:line="240" w:lineRule="auto"/>
        <w:jc w:val="center"/>
        <w:rPr>
          <w:sz w:val="28"/>
        </w:rPr>
      </w:pPr>
    </w:p>
    <w:p w14:paraId="1B5A938D" w14:textId="35CA7305" w:rsidR="00AC6D4E"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C6D4E" w14:paraId="700E17CD" w14:textId="77777777">
        <w:trPr>
          <w:cantSplit/>
        </w:trPr>
        <w:tc>
          <w:tcPr>
            <w:tcW w:w="700" w:type="dxa"/>
            <w:shd w:val="clear" w:color="auto" w:fill="E7F0F9"/>
            <w:tcMar>
              <w:top w:w="0" w:type="dxa"/>
              <w:bottom w:w="0" w:type="dxa"/>
            </w:tcMar>
            <w:vAlign w:val="center"/>
          </w:tcPr>
          <w:p w14:paraId="7CDB3DCB" w14:textId="77777777" w:rsidR="00AC6D4E"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DE9015" w14:textId="77777777" w:rsidR="00AC6D4E"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4A2881" w14:textId="77777777" w:rsidR="00AC6D4E"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00C386" w14:textId="77777777" w:rsidR="00AC6D4E"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25989F3" w14:textId="77777777" w:rsidR="00AC6D4E" w:rsidRDefault="00000000">
            <w:pPr>
              <w:keepNext/>
              <w:keepLines/>
              <w:spacing w:after="0" w:line="240" w:lineRule="auto"/>
              <w:jc w:val="center"/>
            </w:pPr>
            <w:r>
              <w:rPr>
                <w:b/>
                <w:sz w:val="18"/>
              </w:rPr>
              <w:t>Indeks (%)</w:t>
            </w:r>
          </w:p>
        </w:tc>
      </w:tr>
      <w:tr w:rsidR="00AC6D4E" w14:paraId="41C8F664" w14:textId="77777777">
        <w:trPr>
          <w:cantSplit/>
          <w:trHeight w:val="560"/>
        </w:trPr>
        <w:tc>
          <w:tcPr>
            <w:tcW w:w="700" w:type="dxa"/>
            <w:tcMar>
              <w:top w:w="0" w:type="dxa"/>
              <w:bottom w:w="0" w:type="dxa"/>
            </w:tcMar>
            <w:vAlign w:val="center"/>
          </w:tcPr>
          <w:p w14:paraId="67B41339" w14:textId="77777777" w:rsidR="00AC6D4E" w:rsidRDefault="00AC6D4E">
            <w:pPr>
              <w:keepNext/>
              <w:keepLines/>
              <w:spacing w:after="0" w:line="240" w:lineRule="auto"/>
            </w:pPr>
          </w:p>
        </w:tc>
        <w:tc>
          <w:tcPr>
            <w:tcW w:w="3180" w:type="dxa"/>
            <w:tcMar>
              <w:top w:w="0" w:type="dxa"/>
              <w:bottom w:w="0" w:type="dxa"/>
            </w:tcMar>
            <w:vAlign w:val="center"/>
          </w:tcPr>
          <w:p w14:paraId="02526660" w14:textId="77777777" w:rsidR="00AC6D4E"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2E2E1D3C" w14:textId="77777777" w:rsidR="00AC6D4E" w:rsidRDefault="00000000">
            <w:pPr>
              <w:keepNext/>
              <w:keepLines/>
              <w:spacing w:after="0" w:line="240" w:lineRule="auto"/>
            </w:pPr>
            <w:r>
              <w:rPr>
                <w:sz w:val="18"/>
              </w:rPr>
              <w:t>V010</w:t>
            </w:r>
          </w:p>
        </w:tc>
        <w:tc>
          <w:tcPr>
            <w:tcW w:w="1860" w:type="dxa"/>
            <w:tcMar>
              <w:top w:w="0" w:type="dxa"/>
              <w:bottom w:w="0" w:type="dxa"/>
            </w:tcMar>
            <w:vAlign w:val="center"/>
          </w:tcPr>
          <w:p w14:paraId="3A244EA8" w14:textId="77777777" w:rsidR="00AC6D4E" w:rsidRDefault="00000000">
            <w:pPr>
              <w:keepNext/>
              <w:keepLines/>
              <w:spacing w:after="0" w:line="240" w:lineRule="auto"/>
              <w:jc w:val="right"/>
            </w:pPr>
            <w:r>
              <w:rPr>
                <w:sz w:val="18"/>
              </w:rPr>
              <w:t>235,56</w:t>
            </w:r>
          </w:p>
        </w:tc>
        <w:tc>
          <w:tcPr>
            <w:tcW w:w="700" w:type="dxa"/>
            <w:tcMar>
              <w:top w:w="0" w:type="dxa"/>
              <w:bottom w:w="0" w:type="dxa"/>
            </w:tcMar>
            <w:vAlign w:val="center"/>
          </w:tcPr>
          <w:p w14:paraId="1DEA54EE" w14:textId="77777777" w:rsidR="00AC6D4E" w:rsidRDefault="00000000">
            <w:pPr>
              <w:keepNext/>
              <w:keepLines/>
              <w:spacing w:after="0" w:line="240" w:lineRule="auto"/>
              <w:jc w:val="right"/>
            </w:pPr>
            <w:r>
              <w:rPr>
                <w:sz w:val="18"/>
              </w:rPr>
              <w:t>-</w:t>
            </w:r>
          </w:p>
        </w:tc>
      </w:tr>
    </w:tbl>
    <w:p w14:paraId="55A1428D" w14:textId="77777777" w:rsidR="00AC6D4E" w:rsidRDefault="00AC6D4E">
      <w:pPr>
        <w:spacing w:after="0"/>
      </w:pPr>
    </w:p>
    <w:p w14:paraId="26830E77" w14:textId="77777777" w:rsidR="00AC6D4E" w:rsidRDefault="00000000" w:rsidP="002A53BF">
      <w:pPr>
        <w:jc w:val="both"/>
      </w:pPr>
      <w:r>
        <w:t>Međusobne obveze proračunskih korisnika na kraju izvještajnog razdoblja iznose 235,56 eura i odnose se na obvezu za povrat u proračun za refundaciju bolovanja na teret HZZO-a i  obvezu na povrat pasivne kamate.</w:t>
      </w:r>
    </w:p>
    <w:p w14:paraId="6FC1FF5E" w14:textId="77777777" w:rsidR="00AC6D4E" w:rsidRDefault="00000000">
      <w:pPr>
        <w:keepNext/>
        <w:spacing w:line="240" w:lineRule="auto"/>
        <w:jc w:val="center"/>
      </w:pPr>
      <w:r>
        <w:rPr>
          <w:sz w:val="28"/>
        </w:rPr>
        <w:t>Bilješka 36.</w:t>
      </w:r>
    </w:p>
    <w:p w14:paraId="006EB9A8" w14:textId="77777777" w:rsidR="00AC6D4E" w:rsidRDefault="00000000">
      <w:pPr>
        <w:spacing w:line="240" w:lineRule="auto"/>
        <w:jc w:val="both"/>
      </w:pPr>
      <w:r>
        <w:rPr>
          <w:b/>
        </w:rPr>
        <w:t>EU izvještaj</w:t>
      </w:r>
    </w:p>
    <w:p w14:paraId="32D502ED" w14:textId="77777777" w:rsidR="00AC6D4E" w:rsidRDefault="00000000">
      <w:r>
        <w:t>Izvor financiranja 581 - Mehanizam za oporavak i otpornost -bespovratna sredstva</w:t>
      </w:r>
    </w:p>
    <w:p w14:paraId="51CAE08F" w14:textId="7001A8BB" w:rsidR="00AC6D4E" w:rsidRDefault="00000000" w:rsidP="002A53BF">
      <w:pPr>
        <w:jc w:val="both"/>
      </w:pPr>
      <w:r>
        <w:t>U 2026. godini na izvoru financiranja 581 evidentirani su prihodi u iznosu od 4.299,54 eura. Navedeni prihodi se odnose se na plaće zaposlenika čije su se plaće financirale iz Nacionalnog plana za oporavak i otpornost (obiteljski suradnici i voditelj mjere intenzivne stručne pomoći i nadzora nad ostvarivanjem prava skrbi o djetetu - 3 zaposlenika). Budući da je financiranje iz navedenog izvora završeno 31.12.2025. (kad su posljednji put iskazani rashodi), prihodi zaprimljeni u siječnju 2026. se odnose za podmirenje rashoda nastalih u prethodnoj godini.</w:t>
      </w:r>
    </w:p>
    <w:sectPr w:rsidR="00AC6D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C6D4E"/>
    <w:rsid w:val="00080C84"/>
    <w:rsid w:val="002A53BF"/>
    <w:rsid w:val="002D21C3"/>
    <w:rsid w:val="003151F7"/>
    <w:rsid w:val="006C571B"/>
    <w:rsid w:val="00AC6D4E"/>
    <w:rsid w:val="00D734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89D6"/>
  <w15:docId w15:val="{9E1BD03A-FDF9-4DCF-A356-9EA814FB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2791</Words>
  <Characters>16612</Characters>
  <Application>Microsoft Office Word</Application>
  <DocSecurity>0</DocSecurity>
  <Lines>977</Lines>
  <Paragraphs>606</Paragraphs>
  <ScaleCrop>false</ScaleCrop>
  <Company/>
  <LinksUpToDate>false</LinksUpToDate>
  <CharactersWithSpaces>18797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Topalović</cp:lastModifiedBy>
  <cp:revision>6</cp:revision>
  <cp:lastPrinted>2026-04-13T10:03:00Z</cp:lastPrinted>
  <dcterms:created xsi:type="dcterms:W3CDTF">2026-04-13T10:02:00Z</dcterms:created>
  <dcterms:modified xsi:type="dcterms:W3CDTF">2026-04-13T10:13:00Z</dcterms:modified>
</cp:coreProperties>
</file>