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1043cab07f5c4865"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7171</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CENTAR ZA PRUŽANJE USLUGA U ZAJEDNICI VRBINA SISAK</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11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682.878,59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812.401,66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752.735,56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786.952,30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25.449,36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8.721,08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217,9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8.721,08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217,9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6.449,36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pPr>
        <w:jc w:val="both"/>
      </w:pPr>
      <w:r>
        <w:t xml:space="preserve">Ukupni prihodi poslovanja u najvećem omjeru su prihodi iz nadležnog proračuna za financiranje redovne djelatnosti proračunskih korisnika (iznos od 802.411,04 eura ili 98,77% udio u ukupno realiziranim prihodima). Zbog većih rashoda poslovanja u promatranom izvještajnom razdoblju evidentiran je rast prihoda od 19,00%. Ukupni rashodi poslovanja iznose 786.952,30 eura te su manji od realiziranih prihoda poslovanja. Rashodi za nabavu nefinancijske imovine zbrajaju se s rashodima poslovanja, te ukupni rashodi iznose 805.952,30 eura. Razlika prihoda i rashoda poslovanja je rezultat zaprimanja donacijskih prihoda, dok su proračunski prihodi i rashodi približno jednaki. Ostvaruje se višak prihoda i primitaka u iznosu od 6.449,36 eura, zbraja s postojećim viškom prihoda i primitaka, te se prenosi u iduće obračunsko razdoblje.</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634,62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57,7</w:t>
            </w:r>
          </w:p>
        </w:tc>
      </w:tr>
    </w:tbl>
    <w:p>
      <w:pPr>
        <w:spacing w:before="0" w:after="0"/>
      </w:pPr>
    </w:p>
    <w:p>
      <w:pPr>
        <w:jc w:val="both"/>
      </w:pPr>
      <w:r>
        <w:t xml:space="preserve">U izvještajnom razdoblju uplaćeno je 634,62 eura participacija za trošak smještaja korisnika, što je manje nego u prethodnom razdoblju. Uplate su realizirane od strane roditelja/skrbnika koji su obveznici plaćanja participacije za smještaj korisnika (sukladno Rješenjima nadležnih podružnica HZSR-a). Iznos prihoda koji je zaprimljen na žiro račun Ustanove je u cijelosti uplaćen u Državni proračun (iznos jednak rashodu 3691 – Tekući prijenosi između proračunskih korisnika istog proračuna).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6.066,00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9.356,00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154,2</w:t>
            </w:r>
          </w:p>
        </w:tc>
      </w:tr>
    </w:tbl>
    <w:p>
      <w:pPr>
        <w:spacing w:before="0" w:after="0"/>
      </w:pPr>
    </w:p>
    <w:p>
      <w:pPr>
        <w:jc w:val="both"/>
      </w:pPr>
      <w:r>
        <w:t xml:space="preserve">U izvještajnom razdoblju zaprimljeno je 9.356,00 eura namjenskih i nenamjenskih donacija pravnih i fizičkih osoba uplaćenih na žiro račun ustanove, što je 54,20% više nego u usporednom razdoblju prošle godine.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668.438,89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783.411,04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117,2</w:t>
            </w:r>
          </w:p>
        </w:tc>
      </w:tr>
    </w:tbl>
    <w:p>
      <w:pPr>
        <w:spacing w:before="0" w:after="0"/>
      </w:pPr>
    </w:p>
    <w:p>
      <w:pPr>
        <w:jc w:val="both"/>
      </w:pPr>
      <w:r>
        <w:t xml:space="preserve">U izvještajnom razdoblju utrošeno je 783.411,04 eura prihoda iz proračuna za financiranje rashoda poslovanja. Povećanje u odnosu na prošlogodišnje razdoblje je rezultat potrebe za osiguranjem sredstava za financiranje većih tekućih rashoda poslovanja.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7.273,70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261,2</w:t>
            </w:r>
          </w:p>
        </w:tc>
      </w:tr>
    </w:tbl>
    <w:p>
      <w:pPr>
        <w:spacing w:before="0" w:after="0"/>
      </w:pPr>
    </w:p>
    <w:p>
      <w:pPr>
        <w:jc w:val="both"/>
      </w:pPr>
      <w:r>
        <w:t xml:space="preserve">Realizirani prihod od 19.000,00 eura se odnosi na sredstva osigurana iz Državnog proračuna za usluge arheološkog istraživanja na lokaciji za izgradnju nove zgrade za smještaj korisnika Ustanove.</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650.198,45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671.058,28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103,2</w:t>
            </w:r>
          </w:p>
        </w:tc>
      </w:tr>
    </w:tbl>
    <w:p>
      <w:pPr>
        <w:spacing w:before="0" w:after="0"/>
      </w:pPr>
    </w:p>
    <w:p>
      <w:pPr>
        <w:jc w:val="both"/>
      </w:pPr>
      <w:r>
        <w:t xml:space="preserve">Ukupni rashodi za zaposlene u tekućem razdoblju iznose 671.058,28 eura, te su veći za 3,20% u odnosu na usporedno izvještajno razdoblje prošle godine. U razdoblju prošle godine su iskazani rashodi za zaposlene za razdoblje od 12/2024 do 09/2025, a u tekućem razdoblju od 01/2026 do 06/2026 (promjena računovodstvene metodologije).</w:t>
      </w:r>
    </w:p>
    <w:p>
      <w:pPr>
        <w:jc w:val="both"/>
      </w:pPr>
      <w:r>
        <w:t xml:space="preserve">Na dan 30.09.2026. godine u Centru za pružanje usluga u zajednici Vrbina Sisak je zaposleno 27 djelatnika, 26 djelatnika na neodređeno vrijeme i 1 djelatnik na određeno vrijeme (ravnatelj-mandat).</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prekovremeni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1.151,38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368,38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32,0</w:t>
            </w:r>
          </w:p>
        </w:tc>
      </w:tr>
    </w:tbl>
    <w:p>
      <w:pPr>
        <w:spacing w:before="0" w:after="0"/>
      </w:pPr>
    </w:p>
    <w:p>
      <w:pPr>
        <w:jc w:val="both"/>
      </w:pPr>
      <w:r>
        <w:t xml:space="preserve">U tekućem izvještajnom razdoblju je evidentiran prekovremeni rad djelatnika u iznosu od 368,38 eura, budući da je bio nužan sukladno izvanrednim okolnostima u Ustanovi. U usporednom razdoblju prošle godine bila je evidentirana veća potreba za prekovremenim radom.</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4.016,42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4.712,21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117,3</w:t>
            </w:r>
          </w:p>
        </w:tc>
      </w:tr>
    </w:tbl>
    <w:p>
      <w:pPr>
        <w:spacing w:before="0" w:after="0"/>
      </w:pPr>
    </w:p>
    <w:p>
      <w:pPr>
        <w:jc w:val="both"/>
      </w:pPr>
      <w:r>
        <w:t xml:space="preserve">Rashodi za službena putovanja obuhvaćaju dnevnice i ostale troškove na službenim putovanjima (prijevoz, parking, cestarina). Povećanje utrošenih dnevnica je rezultat većeg broja realiziranih službenih putovanja, sukladno potrebi Ustanove (pratnja korisnika, organizirani izleti, odlasci na edukacije).</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14.937,66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14.838,72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99,3</w:t>
            </w:r>
          </w:p>
        </w:tc>
      </w:tr>
    </w:tbl>
    <w:p>
      <w:pPr>
        <w:spacing w:before="0" w:after="0"/>
      </w:pPr>
    </w:p>
    <w:p>
      <w:pPr>
        <w:jc w:val="both"/>
      </w:pPr>
      <w:r>
        <w:t xml:space="preserve">Naknada za prijevoz zaposlenih u izvještajnom razdoblju iznosi 14.838,72 eura, što je približno utrošenim sredstvima prošle godine. Navedeno se odnosi na trošak prijevoza zaposlenika na posao i s posla, sukladno njihovom prebivalištu/boravištu i trošku prijevoza po prijeđenoj kilometraži, ali i bolovanju te plaćenim dopustima pojedinih zaposlenika.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1.437,00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188,3</w:t>
            </w:r>
          </w:p>
        </w:tc>
      </w:tr>
    </w:tbl>
    <w:p>
      <w:pPr>
        <w:spacing w:before="0" w:after="0"/>
      </w:pPr>
    </w:p>
    <w:p>
      <w:pPr>
        <w:jc w:val="both"/>
      </w:pPr>
      <w:r>
        <w:t xml:space="preserve">Troškovi stručnog usavršavanja obuhvaćaju seminare, webinare i ostale potrebne edukacije zaposlenika, a u izvještajnom razdoblju 2026. godine se odnose na edukacije ravnatelja, stručnih radnika i računovodstvenih radnika ustanove. U 2026. godini je realiziran iznos edukacija veći za 88,30 %, zbog edukacija stručnih radnika vezano za promjenjenu strukturu korisnika, ali i edukacije vezano za produljenje certifikata.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4.453,76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6.463,72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145,1</w:t>
            </w:r>
          </w:p>
        </w:tc>
      </w:tr>
    </w:tbl>
    <w:p>
      <w:pPr>
        <w:spacing w:before="0" w:after="0"/>
      </w:pPr>
    </w:p>
    <w:p>
      <w:pPr>
        <w:jc w:val="both"/>
      </w:pPr>
      <w:r>
        <w:t xml:space="preserve">Veći troškovi potrošnje materijala za čišćenje i održavanje i materijala za higijenske potrebe i njegu, sukladno postojećem broju korisnika te većih cijena na tržištu.</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21.793,08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29.446,86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135,1</w:t>
            </w:r>
          </w:p>
        </w:tc>
      </w:tr>
    </w:tbl>
    <w:p>
      <w:pPr>
        <w:spacing w:before="0" w:after="0"/>
      </w:pPr>
    </w:p>
    <w:p>
      <w:pPr>
        <w:jc w:val="both"/>
      </w:pPr>
      <w:r>
        <w:t xml:space="preserve">Veća potrošnja materijala i sirovina je prvenstveno rezultat veće potrošnje namirnica (osnovnih potrepština, mesa i ostalih prehrambenih proizvoda) za potrebe korisnika (sukladno broju korisnika i lokacijama pružanja usluga). Također, zbog pojednih skupina korisnika evidentirano je i povećanje na materijalu za zdravstvenu zaštitu i njegu korisnika.</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9.361,89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12.112,20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129,4</w:t>
            </w:r>
          </w:p>
        </w:tc>
      </w:tr>
    </w:tbl>
    <w:p>
      <w:pPr>
        <w:spacing w:before="0" w:after="0"/>
      </w:pPr>
    </w:p>
    <w:p>
      <w:pPr>
        <w:jc w:val="both"/>
      </w:pPr>
      <w:r>
        <w:t xml:space="preserve">Evidentirani su veći troškovi energije za 29,40%, prvenstveno troškovi opskrbe energentima zbog poslovanja na novoj lokaciji (stan za organizirano stanovanje uz sveobuhvatnu podršku), uz postojeće lokacije (kuća za smještaj korisnika i stan za organizirano stanovanje uz povremenu podršku). Također, zbog cijena na tržištu evidentirano je povećanje u cijeni kod opskrbe gorivom na benzinskim postajama (veća cijena za postojeću potrošnju).</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3.073,52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1.580,19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51,4</w:t>
            </w:r>
          </w:p>
        </w:tc>
      </w:tr>
    </w:tbl>
    <w:p>
      <w:pPr>
        <w:spacing w:before="0" w:after="0"/>
      </w:pPr>
    </w:p>
    <w:p>
      <w:pPr>
        <w:jc w:val="both"/>
      </w:pPr>
      <w:r>
        <w:t xml:space="preserve">Manji troškovi materijala za tekuće i investicijsko održavanje se odnose na troškove održavanja postrojenja i opreme te prijevoznih sredstava, prvenstveno zbog manje potrebe izvanrednih popravaka opreme i prijevoznih sredstava u odnosu na izvještajno razdoblje prošle godine.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pPr>
        <w:jc w:val="both"/>
      </w:pPr>
      <w:r>
        <w:t xml:space="preserve">U 2026. godini nabava službene, radne i zaštitne odjeće i obuće će biti realizirana naknadno, do kraja proračunske godine (zbog toga nisu iskazani podaci).</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32,3</w:t>
            </w:r>
          </w:p>
        </w:tc>
      </w:tr>
    </w:tbl>
    <w:p>
      <w:pPr>
        <w:spacing w:before="0" w:after="0"/>
      </w:pPr>
    </w:p>
    <w:p>
      <w:pPr>
        <w:jc w:val="both"/>
      </w:pPr>
      <w:r>
        <w:t xml:space="preserve">Manja realizacija usluga tekućeg i investicijskog održavanja, sukladno potrebama ustanove, a vezano je za manji broj vanjskih usluga održavanja.</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w:t>
            </w:r>
          </w:p>
        </w:tc>
      </w:tr>
    </w:tbl>
    <w:p>
      <w:pPr>
        <w:spacing w:before="0" w:after="0"/>
      </w:pPr>
    </w:p>
    <w:p>
      <w:pPr>
        <w:jc w:val="both"/>
      </w:pPr>
      <w:r>
        <w:t xml:space="preserve">Rashodi za usluge promidžbe i informiranja u izvještajnom razdoblju iznose 1.821,25 eura, a odnose se na objavu natječaja za zapošljavanje u Narodnim Novinama. Količina objavljenih natječaja u tekućem izvještajnom razdoblju je rezultat potrebe Ustanove za novim zapošljavanjima, uz potrebu ponavljanja natječaja.</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3.836,23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127,9</w:t>
            </w:r>
          </w:p>
        </w:tc>
      </w:tr>
    </w:tbl>
    <w:p>
      <w:pPr>
        <w:spacing w:before="0" w:after="0"/>
      </w:pPr>
    </w:p>
    <w:p>
      <w:pPr>
        <w:jc w:val="both"/>
      </w:pPr>
      <w:r>
        <w:t xml:space="preserve">Veći iznos komunalnih usluga je rezultat poskupljenja komunalne naknade i ostalih cijena komunalnih usluga.</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Zakupnine i najamnine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pPr>
        <w:jc w:val="both"/>
      </w:pPr>
      <w:r>
        <w:t xml:space="preserve">Evidentirani rashod od 7.200,00 eura se odnosi na najam poslovnog prostora (stan za organizirano stanovanje uz sveobuhvatnu podršku) koji je realiziran od listopada 2024. godine (800,00 eura mjesečno).</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1.291,60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4.437,46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343,6</w:t>
            </w:r>
          </w:p>
        </w:tc>
      </w:tr>
    </w:tbl>
    <w:p>
      <w:pPr>
        <w:spacing w:before="0" w:after="0"/>
      </w:pPr>
    </w:p>
    <w:p>
      <w:pPr>
        <w:jc w:val="both"/>
      </w:pPr>
      <w:r>
        <w:t xml:space="preserve">Rashodi za intelektualne usluge u izvještajnom razdoblju 2026. godine se odnose na usluge zaštite na radu, zaštite od požara te na savjetodavne, intelektualne usluge za rad sa novim softverom za e-inventuru,  te na odvjetničke usluge zastupanja zaposlenika pred nadležnim sudom. Realizirano je značajno povećanja navedenih usluga, što je prvenstveno rezultat izvanrednog troška za zastupanje zaposlenika ustanove (odvjetničke usluge).</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268,30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208,4</w:t>
            </w:r>
          </w:p>
        </w:tc>
      </w:tr>
    </w:tbl>
    <w:p>
      <w:pPr>
        <w:spacing w:before="0" w:after="0"/>
      </w:pPr>
    </w:p>
    <w:p>
      <w:pPr>
        <w:jc w:val="both"/>
      </w:pPr>
      <w:r>
        <w:t xml:space="preserve">Računalne usluge iznose 268,30 eura, a odnose se na usluge održavanja i popravka računalnog hardvera i softvera, sukladno potrebama.</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1.246,22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1.165,34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93,5</w:t>
            </w:r>
          </w:p>
        </w:tc>
      </w:tr>
    </w:tbl>
    <w:p>
      <w:pPr>
        <w:spacing w:before="0" w:after="0"/>
      </w:pPr>
    </w:p>
    <w:p>
      <w:r>
        <w:t xml:space="preserve">U tekućem izvještajnom razdoblju utrošeno je 1.165,34 eura za sjednice Upravnog vijeća. Realizirani je broj sjednica sukladno potrebama Ustanove, koji je približno jednak izvještajnom razdoblju iz prethodne godine.</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184,4</w:t>
            </w:r>
          </w:p>
        </w:tc>
      </w:tr>
    </w:tbl>
    <w:p>
      <w:pPr>
        <w:spacing w:before="0" w:after="0"/>
      </w:pPr>
    </w:p>
    <w:p>
      <w:pPr>
        <w:jc w:val="both"/>
      </w:pPr>
      <w:r>
        <w:t xml:space="preserve">Ostali nespomenuti rashodi poslovanja u tekućem razdoblju iznose 698,89 eura, a odnose se na troškove FINA certifikata, rashode protokola i osiguranje korisnika ustanove.</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511,42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92,7</w:t>
            </w:r>
          </w:p>
        </w:tc>
      </w:tr>
    </w:tbl>
    <w:p>
      <w:pPr>
        <w:spacing w:before="0" w:after="0"/>
      </w:pPr>
    </w:p>
    <w:p>
      <w:pPr>
        <w:jc w:val="both"/>
      </w:pPr>
      <w:r>
        <w:t xml:space="preserve">Bankarske usluge i usluge platnog prometa iznose 474,34 eura. Rashod se odnosi na naknadu poslovne banke za korištenje navedenih usluga (iznos ovisi o potrebnom obujmu korištenja usluga - uplate/isplate za potrebe blagajne i broj provedenih transakcija).</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35,1</w:t>
            </w:r>
          </w:p>
        </w:tc>
      </w:tr>
    </w:tbl>
    <w:p>
      <w:pPr>
        <w:spacing w:before="0" w:after="0"/>
      </w:pPr>
    </w:p>
    <w:p>
      <w:pPr>
        <w:jc w:val="both"/>
      </w:pPr>
      <w:r>
        <w:t xml:space="preserve">Evidentirane su zatezne kamate u izvještajnom razdoblju u iznosu od 4,29 eura. Navedeno se odnosi na zatezne kamate iz redovnih poslovnih odnosa, vezane za kašnjenje pri plaćanju faktura dobavljača. Manji iznos zateznih kamata je rezultat brže dinamike plaćanja zaprimljenih ulaznih računa.</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634,62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57,7</w:t>
            </w:r>
          </w:p>
        </w:tc>
      </w:tr>
    </w:tbl>
    <w:p>
      <w:pPr>
        <w:spacing w:before="0" w:after="0"/>
      </w:pPr>
    </w:p>
    <w:p>
      <w:pPr>
        <w:jc w:val="both"/>
      </w:pPr>
      <w:r>
        <w:t xml:space="preserve">Tekući prijenosi između proračunskih korisnika se odnose na uplatu zaprimljenih participacija za trošak smještaja korisnika u Državni proračun, u ukupnom iznosu od 634,62 eura (iznos je jednak prihodima ŠIFRA 6526, budući da su svi zaprimljeni prihodi uplaćeni u Državni proračun). Zaprimljeni iznos participacija je rezultat uplata od obveznika plaćanja participacije na žiro račun ustanove, sukladno Rješenjima izdanih od strane HZSR-a, ali i redovitosti uplati pojedinih obveznika.</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novcu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7.668,56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9.935,87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129,6</w:t>
            </w:r>
          </w:p>
        </w:tc>
      </w:tr>
    </w:tbl>
    <w:p>
      <w:pPr>
        <w:spacing w:before="0" w:after="0"/>
      </w:pPr>
    </w:p>
    <w:p>
      <w:pPr>
        <w:jc w:val="both"/>
      </w:pPr>
      <w:r>
        <w:t xml:space="preserve">Naknade građanima i kućanstvima u novcu u izvještajnom razdoblju iznose 9.935,87 eura (+29,60%). Navedeno je rezultat potrebe Ustanove za većom isplatom naknada za osobne potrebe korisnika (džeparca), sukladno zaprimljenim Rješenjima nadležnih područnih ureda HZSR-a, ali i veće osnovice za isplatu ostalih naknada u socijalnoj skrbi.</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7.901,68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5.635,10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71,3</w:t>
            </w:r>
          </w:p>
        </w:tc>
      </w:tr>
    </w:tbl>
    <w:p>
      <w:pPr>
        <w:spacing w:before="0" w:after="0"/>
      </w:pPr>
    </w:p>
    <w:p>
      <w:pPr>
        <w:jc w:val="both"/>
      </w:pPr>
      <w:r>
        <w:t xml:space="preserve">Iznos od 5.635,10 eura u tekućem izvještajnom razdoblju se odnosi na plaćene izlete, ljetovanja i ostale naknade korisnicima Ustanove u naravi. U prošloj godini je utrošen veći iznos za izlete korisnika, koji su bili plaćeni iz donacijskih sredstava.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Poslovni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Nastali rashod od 19.000,00 eura se odnosi na trošak radova na arheološkom istraživanju na lokaciji za izgradnju nove zgrade za smještaj korisnika Ustanove. Postupak izgradnje provodi nadležno Ministarstvo kao investitor, a uslugu arheološkog istraživanja Ustanova, plaćeno sredstvima osiguranim iz Državnog proračuna.</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6.449,36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Iskazan je višak prihoda i primitaka od 6.449,36 eura, koji se zbraja s prenesenim viškom prihoda i primitaka iz 2025. godine, te se dobiva višak i prihoda i primitaka koji je raspoloživ u razdoblju nakon 30.09.2026. godine.</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raspoloživ u sljedećem razdoblju (šifre X005 + '9221-9222' - Y005 - '9222-9221')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303.732,66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308.158,64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101,5</w:t>
            </w:r>
          </w:p>
        </w:tc>
      </w:tr>
    </w:tbl>
    <w:p>
      <w:pPr>
        <w:spacing w:before="0" w:after="0"/>
      </w:pPr>
    </w:p>
    <w:p>
      <w:pPr>
        <w:jc w:val="both"/>
      </w:pPr>
      <w:r>
        <w:t xml:space="preserve">Višak prihoda i primitaka raspoloživ u sljedećem razdoblju iznosi 308.158,64 eura (preneseni višak prihoda i primitaka od 301.709,28 eura je uvećan za prihode i primitke od 812.401,66 eura, i umanjen za rashode izdatke od 805.952,30 eura).</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novčanih sredstava na početku izvještajnog razdoblja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11P</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384.475,11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379.135,45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98,6</w:t>
            </w:r>
          </w:p>
        </w:tc>
      </w:tr>
    </w:tbl>
    <w:p>
      <w:pPr>
        <w:spacing w:before="0" w:after="0"/>
      </w:pPr>
    </w:p>
    <w:p>
      <w:pPr>
        <w:jc w:val="both"/>
      </w:pPr>
      <w:r>
        <w:t xml:space="preserve">Stanje žiro računa na dan 01. siječnja 2026. godine iznosilo je 379.135,45 eura, od čega se iznos od 378.612,30 eura odnosi se na donacije pravnih i fizičkih osoba (izvor 61), iznos od 513,64 eura su vlastita sredstva (izvor 31), iznos od 9,51 eura odnosi na pasivnu kamatu (IF:11).</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novčanih sredstava na kraju izvještajnog razdoblja (šifre 11P + '11-dugov.' - '11-potraž.')</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11K</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376.076,29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386.265,37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102,7</w:t>
            </w:r>
          </w:p>
        </w:tc>
      </w:tr>
    </w:tbl>
    <w:p>
      <w:pPr>
        <w:spacing w:before="0" w:after="0"/>
      </w:pPr>
    </w:p>
    <w:p>
      <w:pPr>
        <w:jc w:val="both"/>
      </w:pPr>
      <w:r>
        <w:t xml:space="preserve">Stanje novčanih sredstava na dan 30.09.2026. godine iznosi 386.265,37 eura. Od toga, 1.257,92 eura je stanje glavne blagajne, a 385.007,45 eura stanje na žiro računu.</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Novčana naknada poslodavca zbog nezapošljavanja osoba s invaliditetom</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1.721,06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108,9</w:t>
            </w:r>
          </w:p>
        </w:tc>
      </w:tr>
    </w:tbl>
    <w:p>
      <w:pPr>
        <w:spacing w:before="0" w:after="0"/>
      </w:pPr>
    </w:p>
    <w:p>
      <w:pPr>
        <w:jc w:val="both"/>
      </w:pPr>
      <w:r>
        <w:t xml:space="preserve">Veći iznos novčane naknade zbog nezapošljavanja osoba s invaliditetom, zbog povećanja iznosa obveze na temelju izračuna (veći iznos minimalne bruto plaće koji služi kao osnovica za obračun naknade).</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Sufinanciranje cijene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2.805,10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3568,8</w:t>
            </w:r>
          </w:p>
        </w:tc>
      </w:tr>
    </w:tbl>
    <w:p>
      <w:pPr>
        <w:spacing w:before="0" w:after="0"/>
      </w:pPr>
    </w:p>
    <w:p>
      <w:pPr>
        <w:jc w:val="both"/>
      </w:pPr>
      <w:r>
        <w:t xml:space="preserve">Povećanje troškova prijevoza korisnika je rezultat plaćanja prijevoza korisnika na organizirane izlete na more, što je plaćeno namjenskim donacijskim sredstvima Ustanove.</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naknade iz proračuna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7.823,08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2.830,00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w:t>
            </w:r>
          </w:p>
        </w:tc>
      </w:tr>
    </w:tbl>
    <w:p>
      <w:pPr>
        <w:spacing w:before="0" w:after="0"/>
      </w:pPr>
    </w:p>
    <w:p>
      <w:pPr>
        <w:jc w:val="both"/>
      </w:pPr>
      <w:r>
        <w:t xml:space="preserve">U 2025. godini je izvršeno plaćanje ugovorenih izleta iz donacijskih sredstava, dok u 2026. godini taj trošak nije evidentiran.</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1. siječnja (=stanju obveza iz Izvještaja o obvezama na 31. prosinca prethodne godine)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76.667,87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obveza 1. siječnja 2026. godine iznosi 76.667,87 eura, a iznos je jednak stanju obveza na dan 31. prosinca 2025. godine.</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1.563,74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Nastale međusobne obveze subjekata općeg proračuna u izvještajnom razdoblju se odnose na obvezu za refundaciju bolovanja na teret HZZO-a u iznosu od 1.535,07 eura te uplaćenu pasivnu kamatu banke od 28,67 eura.</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1.712,82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Podmirene međusobne obveze subjekata općeg proračuna u iznosu od 1.684,39 eura se odnose na refundaciju bolovanja na teret HZZO-a i uplatu pasivne kamate banke u Državni proračun u iznosu od 28,43 eura.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na kraju izvještajnog razdoblja (šifre V001+V002-V004) i (šifre V007+V009)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77.199,11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obveza na dan 30.09.2026. godine iznosi 77.199,11 eura, pri čemu su sve obveze nedospjele. Primarno se sastoje od obveza za plaće za razdoblje 09/2026 i obveze za neplaćene račune iz razdoblja 09/2026 (čije je dospijeće u listopadu 2026. godine).</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Sve obveze su nedospjele, odnosno dospijevaju na plaćanje tek u listopadu 2026. godine.</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nedospjelih obveza na kraju izvještajnog razdoblja (šifre V010 + ND23 + ND24 + 'ND dio 25,26' + ND27)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77.199,11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nedospjelih obveza na dan 30.09.2026. iznosi 77.199,11 eura, što je rezultat zbroja međusobnih obveza proračunskih korisnika (V010) i obveza za rashode poslovanja (ND23). Nedospjele obveze na dan 30.09.2026. predstavljaju ukupne obveze Ustanove.</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Međusobne obveze proračunskih korisnika na dan 30.09.2026. godine iznose 88,60 eura i odnose se na:</w:t>
      </w:r>
    </w:p>
    <w:p>
      <w:pPr>
        <w:pStyle w:val="ListParagraph"/>
        <w:numPr>
          <w:ilvl w:val="0"/>
          <w:numId w:val="2"/>
        </w:numPr>
      </w:pPr>
      <w:r>
        <w:t xml:space="preserve">obvezu na povrat pasivne kamate banke u Državni proračun u iznosu od 9,75 eura</w:t>
      </w:r>
    </w:p>
    <w:p>
      <w:pPr>
        <w:pStyle w:val="ListParagraph"/>
        <w:numPr>
          <w:ilvl w:val="0"/>
          <w:numId w:val="2"/>
        </w:numPr>
      </w:pPr>
      <w:r>
        <w:t xml:space="preserve">obvezu za povrat više plaćenog iznosa poreza na dohodak u iznosu od 78,85 eura</w:t>
      </w:r>
    </w:p>
    <w:p>
      <w:pPr>
        <w:jc w:val="both"/>
      </w:pPr>
      <w:r>
        <w:t xml:space="preserve">Obveze za povrat u proračun za refundaciju bolovanja na teret HZZO-a su na dan 30.09.2026. podmirene u cijelosti.</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77.110,51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Obveze za rashode poslovanja na dan 30.09.2026. godine iznose 77.110,51 te se odnose na:</w:t>
      </w:r>
    </w:p>
    <w:p>
      <w:pPr>
        <w:pStyle w:val="ListParagraph"/>
        <w:numPr>
          <w:ilvl w:val="0"/>
          <w:numId w:val="2"/>
        </w:numPr>
        <w:jc w:val="both"/>
      </w:pPr>
      <w:r>
        <w:t xml:space="preserve">obveze za zaposlene (plaća 09/2026) u iznosu od 73.611,36 eura</w:t>
      </w:r>
    </w:p>
    <w:p>
      <w:pPr>
        <w:pStyle w:val="ListParagraph"/>
        <w:numPr>
          <w:ilvl w:val="0"/>
          <w:numId w:val="2"/>
        </w:numPr>
        <w:jc w:val="both"/>
      </w:pPr>
      <w:r>
        <w:t xml:space="preserve">obveze za materijalne rashode, financijske rashode i naknade građanima i kućanstvima u iznosu od 3.499,15 eura</w:t>
      </w:r>
    </w:p>
    <w:p/>
    <w:p>
      <w:pPr>
        <w:jc w:val="center"/>
        <w:pStyle w:val="Normal"/>
        <w:spacing w:line="240" w:lineRule="auto"/>
        <w:keepNext/>
      </w:pPr>
      <w:r>
        <w:rPr>
          <w:sz w:val="28"/>
          <w:rFonts w:ascii="Times New Roman" w:hAnsi="Times New Roman"/>
        </w:rPr>
        <w:t xml:space="preserve">Bilješka 45.</w:t>
      </w:r>
    </w:p>
    <w:p>
      <w:pPr>
        <w:jc w:val="both"/>
        <w:pStyle w:val="Normal"/>
        <w:spacing w:line="240" w:lineRule="auto"/>
      </w:pPr>
      <w:r>
        <w:rPr>
          <w:b/>
          <w:sz w:val="24"/>
          <w:rFonts w:ascii="Times New Roman" w:hAnsi="Times New Roman"/>
        </w:rPr>
        <w:t xml:space="preserve">EU izvještaj</w:t>
      </w:r>
    </w:p>
    <w:p>
      <w:pPr>
        <w:jc w:val="both"/>
      </w:pPr>
      <w:r>
        <w:t xml:space="preserve">Izvor financiranja 581 - Mehanizam za oporavak i otpornost -bespovratna sredstva</w:t>
      </w:r>
    </w:p>
    <w:p>
      <w:pPr>
        <w:jc w:val="both"/>
      </w:pPr>
      <w:r>
        <w:t xml:space="preserve">U 2026. godini na izvoru financiranja 581 evidentirani su prihodi u iznosu od 4.299,54 eura. Navedeni prihodi se odnose se na plaće zaposlenika čije su se plaće financirale iz Nacionalnog plana za oporavak i otpornost (obiteljski suradnici i voditelj mjere intenzivne stručne pomoći i nadzora nad ostvarivanjem prava skrbi o djetetu - 3 zaposlenika). Budući da je financiranje iz navedenog izvora završeno 31.12.2025. (kad su posljednji put iskazani rashodi), prihodi zaprimljeni u siječnju 2026. se odnose za podmirenje rashoda nastalih u prethodnoj godini. U izvještaju su prikazani prihodi i rashodi u 2025. godini (kad je financiranje s izvora 581 bilo aktivno).</w:t>
      </w:r>
    </w:p>
    <w:p/>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acbf6670a1d8482d" /><Relationship Type="http://schemas.openxmlformats.org/officeDocument/2006/relationships/numbering" Target="/word/numbering.xml" Id="R1ce19b48740844bb" /></Relationships>
</file>